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9" w:after="2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workflows, resulting in timely decision-making.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root cause analysis on seller claims, identifying policy violations and anomalous patterns, and escalated findings to senior reviewers, leading to informed decision-making.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200+ weekly cases to spot recurring fraud patterns, flagging them early to reduce repeat-issue investigation time before escalation, resulting in efficient issue resolution.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audit-ready case records, recording investigation findings, decisions, evidence notes, and corrective actions, ensuring transparent and compliant case management.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detection, lateral movement, and privilege escalation; mapped TTPs to MITRE ATT&amp;CK (TTP mapping)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pipeline: Python script ingests Splunk alerts, runs IOC enrichment (threat intelligence)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29" w:after="29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(vulnerability prioritisation)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