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compliance and accuracy in case resolution.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findings, decisions, evidence, and corrective actions in audit-ready case notes.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reduce repeat-issue investigation time before escalation, demonstrating proactive compliance and risk mitigation.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 IOC data, and dispatching Telegram notifications with CVSS-based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rules, enhancing vendor-neutral detection-as-code for enterprise SOCs; analyzed TCP/IP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