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achieving consistent case routing.</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timely remediation.</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evidence notes, and corrective actions, supporting compliance reviews and traceability.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a PICERL incident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detection pipeline where a Python script ingests Splunk alerts, enriches IOCs via the VirusTotal API and dispatches a Telegram notification with severity classification.</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Converted detection logic to a Sigma rule for vendor-neutral use and performed TCP/IP analysis in Wireshark to detect SYN scans, DNS tunnelling and plaintext credential exposure on unencrypted sessions and generated a detection rule.</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 multi-API threat intelligence pipeline that submits suspicious URLs and IPs to VirusTotal and AbuseIPDB, cross‑references WHOIS registration age, DNS records and SSL details for phishing analysis and produces an analysis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that generates character‑substitution variants of brand domains, checks live DNS resolution for each variant and outputs a detection list.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that lets analysts submit URLs for live IOC enrichment, supports bulk CSV input and output for incident response workflows and includes OSINT enrichment via theHarvester for domain profiling and provides a Telegram bot.</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65" w:after="65"/>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65" w:after="65"/>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65" w:after="65"/>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