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applying structured workflows to ensure accurate decision-making.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and escalated findings to senior reviewers for further action.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corrective actions, and evidence notes to support future analysis.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cases, flagging them early to reduce repeat-issue investigation time and improve overall efficiency.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threat intelligence pipeline: submits suspicious data to VirusTotal, AbuseIPDB, and URLScan.io; cross-references WHOIS, DNS, and SSL details to produce a unified phishing probability score (EPSS 85).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Cloud Security, Firewall Configuration,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