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case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actions, maintaining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early, reducing repeat-issue investigation time by 30%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