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resolution within 24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a 99% accuracy rate in case documentation.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flagging them early and reducing repeat-issue investigation time by 25%, with a 95% accuracy rate in identifying high-risk cases.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integrating Nessus and OpenVAS REST APIs in Python;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