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providing control evidence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&amp; Compliance Analyst at Mimecast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documentation for multi-API threat intelligence pipeline: submits suspicious URLs/IPs to VirusTotal, AbuseIPDB, and URLScan.io; cross-references WHOIS registration age, DNS records, and SSL details for compliance tracking and risk assessment.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validation for typosquatting domain detector generating character-substitution variants of brand domains and checking live DNS resolution for brand-impersonation analysis and risk prioritization.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 and compliance tracking.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&amp; Compliance Analyst at Mimecast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Generated compliance tracking evidence for automated vulnerability assessment pipeline integrating Nessus and OpenVAS REST APIs in Python; classified CVE reports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documentation for OWASP Top 10 automated web checker that sends crafted HTTP requests to detect injection, broken auth, and SSRF vulnerabilities; remediated SQL injection exploit and parameterised query.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Scheduled automated scans via Bash and cron; built delta-scan logic to flag newly discovered CVEs and organize patch compliance tracking evidence for risk assessment and control validation.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