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and accurate case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reducing repeat-issue investigation time before escalation.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notes, recording investigation findings, decisions, evidence notes, and corrective actions, ensuring compliance tracking and decision trails.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Compliance and Risk Management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for suspicious URL/IP analysis, submitting to VirusTotal, AbuseIPDB, and URLScan.io, incorporating WHOIS, DNS, and SSL data for phishing detection.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control validation and decision trails: implemented typosquatting detection, generating domain variants and checking DNS resolution for brand-impersonation analysis.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bulk CSV input/output, and OSINT enrichment via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Compliance and Vulnerability Management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compliance tracking and decision trails: automated OWASP Top 10 web checker detecting injection, auth, and SSRF vulnerabilities,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Established compliance tracking: automated scan scheduling via Bash and cron, flagged newly discovered CVEs and organized patch compliance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