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 and escalating findings to senior reviewers for risk mitigation.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identified policy violations and anomalous patterns, and escalated findings to senior reviewers for risk analysis and control gap identification.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for risk tracking and compliance.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for risk reduction and control improvement.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 85).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DNS resolution to catch brand-impersonation attacks before they reach threat feeds (T1110).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and leveraging EPSS scoring from FIRST.org API for prioritization.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Analysis,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