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compliance with established policies.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seller claims, documenting root cause, investigation findings, evidence, and corrective actions in audit-ready case notes.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cases, flagging them early to reduce repeat-issue investigation time before escalation, enhancing compliance and reducing risk.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multi-source risk assessment pipeline: submits vendor domains and IPs to VirusTotal, AbuseIPDB, and URLScan.io, cross-referencing WHOIS, DNS, and SSL certificate details.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domain reputation assessment tool detecting typosquatting variants and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for automated risk assessment, supporting bulk CSV input/output and OSINT enrichment via theHarvester for domain profiling.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audit-ready CVE reports with EPSS context from FIRST.org API and CVSS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 validating security controls against regulatory requirements, documenting vulnerability-to-remediation audit trails with SQL injection evidence and parameterised query fixes.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(remediation tracking)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