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Utilized data analysis and risk management skills to triage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credit risk assessment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