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0" w:after="2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reducing repeat-issue investigation time.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identified policy violations and anomalous patterns, and escalated findings to senior reviewers, ensuring audit-ready case documentation and informed decision-making.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200+ weekly cases, spotting recurring fraud patterns, flagging early, and reducing repeat-issue investigation time through proactive compliance tracking.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Documented investigation findings, decisions, evidence notes, and corrective actions in audit-ready case notes, maintaining control evidence and compliance tracking.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VirusTotal API, AbuseIPDB, WHOIS, Telegram bot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multi-API threat intelligence pipeline using Python, submitting suspicious data to VirusTotal, AbuseIPDB, URLScan.io, and cross-referencing WHOIS, DNS, and SSL details for phishing analysis.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typosquatting detector using Python, AbuseIPDB, and WHOIS to generate domain variants and check live DNS resolution for brand-impersonation analysis.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interface using Python and Telegram bot, enabling analysts to submit URLs for IOC enrichment, supporting bulk CSV input/output and OSINT enrichment via theHarvester.</w:t>
      </w:r>
    </w:p>
    <w:p w14:paraId="50EFC0D0" w14:textId="77777777" w:rsidR="00F85316" w:rsidRDefault="00F85316">
      <w:pPr>
        <w:spacing w:before="20" w:after="2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using Python, integrating Nessus and OpenVAS REST APIs, and generating CVE reports with CVSS severity and EPSS context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using Python, detecting injection, auth, and SSRF vulnerabilities, documenting SQL injection remediation.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using Bash and cron, and built delta-scan logic to flag newly discovered CVEs and organize patch compliance (remediation tracking) tracking evidence using Python and Nessus.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GRC &amp; Compliance: </w:t>
      </w:r>
      <w:r>
        <w:rPr>
          <w:rFonts w:ascii="Source Sans Pro" w:eastAsia="Source Sans Pro" w:hAnsi="Source Sans Pro" w:cs="Source Sans Pro"/>
          <w:sz w:val="19"/>
          <w:szCs w:val="19"/>
        </w:rPr>
        <w:t>NIST CSF, ISO 27001, PCI-DSS, GDPR/PDPB, SOX/ITGC, compliance monitoring</w:t>
      </w:r>
    </w:p>
    <w:p w14:paraId="7542F506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Risk &amp; Audit: </w:t>
      </w:r>
      <w:r>
        <w:rPr>
          <w:rFonts w:ascii="Source Sans Pro" w:eastAsia="Source Sans Pro" w:hAnsi="Source Sans Pro" w:cs="Source Sans Pro"/>
          <w:sz w:val="19"/>
          <w:szCs w:val="19"/>
        </w:rPr>
        <w:t>Risk assessment, control testing, audit documentation, vendor risk, RCSA basics</w:t>
      </w:r>
    </w:p>
    <w:p w14:paraId="24BEE31D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Fraud &amp; AML: </w:t>
      </w:r>
      <w:r>
        <w:rPr>
          <w:rFonts w:ascii="Source Sans Pro" w:eastAsia="Source Sans Pro" w:hAnsi="Source Sans Pro" w:cs="Source Sans Pro"/>
          <w:sz w:val="19"/>
          <w:szCs w:val="19"/>
        </w:rPr>
        <w:t>Transaction monitoring, AML typologies, KYC/CDD, sanctions screening</w:t>
      </w:r>
    </w:p>
    <w:p w14:paraId="4A1B93A5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Tools: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Python, Excel, SQL (basic), TCP/IP basics</w:t>
      </w:r>
    </w:p>
    <w:p w14:paraId="1EFBFF0E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Frameworks: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OWASP Top 10, Incident Response (PICERL), audit trail documentation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