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cases, ensuring compliance with structured case triage and escalation workflows, and maintaining audit-ready documentation for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data compliance.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 for governance and risk management.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reducing repeat-issue investigation time before escalation, and enhancing data governance.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 CVEs and calculating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