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risk exposure.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and reducing repeat-issue investigation time before escalation, resulting in enhanced case efficiency and reduced risk.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 IOC data,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