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5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35" w:after="35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identifying high-risk cases for senior reviewer escalation.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root cause analysis on seller claims, uncovering policy violations and anomalous patterns.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200+ weekly cases to detect recurring fraud patterns, reducing repeat-issue investigation time before escalation.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audit-ready case records, capturing investigation findings, decisions, evidence notes, and corrective actions.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35" w:after="3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(detection engineering) searches for brute-force detection, lateral movement, and privilege escalation; mapped TTPs to MITRE ATT&amp;CK (TTP mapping)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 (security orchestration and automation)-style detection pipeline: Python script ingests Splunk alerts, runs IOC enrichment (threat intelligence)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(vendor-neutral format used by enterprise SOCs);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5" w:after="35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(vulnerability prioritisation)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(web application security)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35" w:after="3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35" w:after="3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