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risk exposure.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documentation,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in 200+ weekly cases, flagging early to reduce repeat-issue investigation time and enhance case triage efficiency.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