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applying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early detection and mitigation of potential issues.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notes, ensuring compliance tracking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patterns, flagging 200+ weekly cases early, reducing repeat-issue investigation time and risk exposure.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AbuseIPDB, and WHOIS to generate domain variants and check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to flag new CVEs, and tracked remediation using Nessus and OpenVAS REST APIs in Python.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