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case resolutions.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quality and reduced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flagged them early, and reduced repeat-issue investigation time before escalation, demonstrating proactive risk mitigation.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 in case management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