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high-priority issues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analyzing root cause and policy violations to inform decision-making and reduce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for recurring fraud patterns, detecting anomalies and flagging them early to prevent repeat issues.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maintaining accurate and transparent case histories.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CVSS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vulnerabilities, documenting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for CVE flagging and patch compliance tracking using Nessus and OpenVAS reports.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