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weekly inventory reimbursement cases by severity and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 required for security incident reporting and IT audit.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Collaborated with compliance and risk teams to enforce regulatory policies, identify process control gaps, and implement corrective actions — building operational instincts directly applicable to GRC analyst, risk management, and compliance monitoring roles.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