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&amp; WHOIS for phishing probability scoring.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analysts to submit URLs for live IOC enrichment &amp; OSINT enrichment via theHarvester.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 for CVE reporting.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broken auth, &amp; SSRF vulnerabilities via crafted HTTP requests.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for newly discovered CVEs &amp;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GRC compliance monitoring, control testing, audit documentation, risk assessment, RCSA basics, vendor risk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ISO 27001 (concepts), NIST CSF, PCI-DSS, GDPR/PDPB, SOX/ITGC basics, compliance gap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screening, financial crime indicators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 (pivot, VLOOKUP),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