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cases by severity and policy eligibility; applied structured investigation logic, documented decisions per case, and escalated edge cases — sustaining systematic triage discipline across 80+ weeks of continuous high-volume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20+ complex seller claims weekly; identified policy violations and anomalous reimbursement patterns; escalated structured findings with supporting evidence — maintaining 95%+ case accuracy under sustained operational pressure.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documentation across 500+ investigations: capturing investigation findings, policy decisions, corrective actions, and audit trail — enabling retrospective review and evidence retrieval on demand for compliance and quality assurance.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Amazon seller data to identify policy compliance and regulatory adherence issues; developed and implemented corrective actions to mitigate risk and ensure adherence to GRC standards.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3A497994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Security, Analysis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