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timely security incident response and minimizing business disruption.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 to prevent future security incidents.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and improving overall security posture.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secure and compliant environment.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Splunk SIEM correlation searches for brute-force detection, lateral movement, and privilege escalation (T1110, T1078, T1059); reduced incident response time by 30% with comprehensive PICERL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 using Python that ingests Splunk alerts, enriches with VirusTotal API, and dispatches Telegram notifications, reducing mean time to triage by 45% and increasing analyst productivity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to detect SYN scans, DNS tunnelling, and plaintext credential exposure, achieving 90% threat detection accuracy.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submitting suspicious URLs/IPs to VirusTotal, AbuseIPDB, and URLScan.io; achieved 95% phishing detection accuracy with unified scoring.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resolution, achieving 99% detection rate of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theHarvester, increasing analyst efficiency by 40%.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