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of cases being resolved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100% compliance with regulatory requirements.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