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and maintained weekly inventory reimbursement case triage process by severity and policy eligibility, ensuring accurate and timely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 to identify policy violations and anomalous patterns, escalating findings to senior reviewers for further evaluation.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a clear evidence chain-of-custody for security incident reporting.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 using VirusTotal, AbuseIPDB, and URLScan.io, cross-referencing WHOIS, DNS, and SSL details to produce a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vulnerabilities, documenting SQL injection exploit and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flagging new CVEs with delta-scan logic and calculating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security, management,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