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risk prioritization, SLA discipline, and remediation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