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risk prioritization and SLA discipline, producing a daily triage summary report.</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risk escalation tickets.</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audit‑ready case notes with investigation findings, evidence, and corrective actions, creating control evidence packets for compliance tracking.</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multi-API threat intelligence pipeline in Python that submits suspicious URLs and IPs to VirusTotal and AbuseIPDB and cross-references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for brand‑impersonation analysis.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in Python enabling analysts to submit URLs for live IOC enrichment, supports bulk CSV input and output for incident response workflows and includes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 Python that integrates Nessus and OpenVAS REST APIs, generates CVE reports classified by CVSS severity and EPSS context from the FIRST.org API for vulnerability prioritization.</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in Python that sends crafted HTTP requests to detect injection, broken authentication and SSRF vulnerabilities, and documented SQL injection exploit and parameterised query remediation for remediation documentation.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with Bash and cron, built delta‑scan logic to flag newly discovered CVEs and organize patch compliance tracking evidence.</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