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trade compliance analysis on 50+ weekly inventory reimbursement cases by severity and policy eligibility, adhering to export import regulations.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 to identify policy violations and anomalous patterns, demonstrating investigative instincts central to risk management and compliance risk assessment.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trade law compliance.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 monitoring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