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cases by severity and eligibility, building alert triage discipline for analyst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claim anomalies and policy violations using root cause analysis and escalation judgment.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recurring patterns to identify risk indicators and prioritize follow-up investigations.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findings and corrective actions to support evidence-based security review and reporting.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risk, security posture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