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applying structured triage discipline to prioritize high-risk cases.</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timely decision-making.</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detailed, audit-ready case documentation recording investigation findings, decisions, evidence notes, and corrective actions for compliance tracking.</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and Nessus API.</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