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p>
      <w:pPr>
        <w:jc w:val="center"/>
      </w:pPr>
      <w:r>
        <w:drawing>
          <wp:inline xmlns:a="http://schemas.openxmlformats.org/drawingml/2006/main" xmlns:pic="http://schemas.openxmlformats.org/drawingml/2006/picture">
            <wp:extent cx="4572000" cy="2888631"/>
            <wp:docPr id="2" name="Picture 2"/>
            <wp:cNvGraphicFramePr>
              <a:graphicFrameLocks noChangeAspect="1"/>
            </wp:cNvGraphicFramePr>
            <a:graphic>
              <a:graphicData uri="http://schemas.openxmlformats.org/drawingml/2006/picture">
                <pic:pic>
                  <pic:nvPicPr>
                    <pic:cNvPr id="0" name="High-Level System Architecture.png"/>
                    <pic:cNvPicPr/>
                  </pic:nvPicPr>
                  <pic:blipFill>
                    <a:blip r:embed="rId11"/>
                    <a:stretch>
                      <a:fillRect/>
                    </a:stretch>
                  </pic:blipFill>
                  <pic:spPr>
                    <a:xfrm>
                      <a:off x="0" y="0"/>
                      <a:ext cx="4572000" cy="2888631"/>
                    </a:xfrm>
                    <a:prstGeom prst="rect"/>
                  </pic:spPr>
                </pic:pic>
              </a:graphicData>
            </a:graphic>
          </wp:inline>
        </w:drawing>
      </w:r>
    </w:p>
    <w:p>
      <w:pPr>
        <w:pStyle w:val="Caption"/>
        <w:jc w:val="center"/>
      </w:pPr>
      <w:r>
        <w:t>Figure 1: High-Level System Architecture &amp; Data Flow</w:t>
      </w:r>
    </w:p>
    <w:p/>
    <w:p/>
    <w:p>
      <w:pPr>
        <w:jc w:val="center"/>
      </w:pPr>
      <w:r>
        <w:drawing>
          <wp:inline xmlns:a="http://schemas.openxmlformats.org/drawingml/2006/main" xmlns:pic="http://schemas.openxmlformats.org/drawingml/2006/picture">
            <wp:extent cx="4114800" cy="2337733"/>
            <wp:docPr id="3" name="Picture 3"/>
            <wp:cNvGraphicFramePr>
              <a:graphicFrameLocks noChangeAspect="1"/>
            </wp:cNvGraphicFramePr>
            <a:graphic>
              <a:graphicData uri="http://schemas.openxmlformats.org/drawingml/2006/picture">
                <pic:pic>
                  <pic:nvPicPr>
                    <pic:cNvPr id="0" name="Sovereign Data Trust Architecture_ A 3D Layered Pyramid Diagram - visual selection.png"/>
                    <pic:cNvPicPr/>
                  </pic:nvPicPr>
                  <pic:blipFill>
                    <a:blip r:embed="rId12"/>
                    <a:stretch>
                      <a:fillRect/>
                    </a:stretch>
                  </pic:blipFill>
                  <pic:spPr>
                    <a:xfrm>
                      <a:off x="0" y="0"/>
                      <a:ext cx="4114800" cy="2337733"/>
                    </a:xfrm>
                    <a:prstGeom prst="rect"/>
                  </pic:spPr>
                </pic:pic>
              </a:graphicData>
            </a:graphic>
          </wp:inline>
        </w:drawing>
      </w:r>
    </w:p>
    <w:p>
      <w:pPr>
        <w:pStyle w:val="Caption"/>
        <w:jc w:val="center"/>
      </w:pPr>
      <w:r>
        <w:t>Figure 2: Sovereign Data Trust &amp; Integrity Framework</w:t>
      </w:r>
    </w:p>
    <w:p/>
    <w:p>
      <w:r>
        <w:br w:type="page"/>
      </w:r>
    </w:p>
    <w:p>
      <w:pPr>
        <w:pStyle w:val="Heading1"/>
      </w:pPr>
      <w:r>
        <w:t>5. ANALYSIS &amp; KEY FINDINGS</w:t>
      </w:r>
    </w:p>
    <w:p>
      <w:pPr>
        <w:pStyle w:val="Heading2"/>
      </w:pPr>
      <w:r>
        <w:t>5.1 Structural Inconsistency: Ghost Districts</w:t>
      </w:r>
    </w:p>
    <w:p>
      <w:r>
        <w:t>Naming mismatches (e.g., 'Bengaluru Urban' vs 'Bengaluru South') obscure data linkage. We identified 35 districts with 87,882 enrolments but zero updates due to cross-API naming inconsistencies.</w:t>
      </w:r>
    </w:p>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
      <w:pPr>
        <w:jc w:val="center"/>
      </w:pPr>
      <w:r>
        <w:drawing>
          <wp:inline xmlns:a="http://schemas.openxmlformats.org/drawingml/2006/main" xmlns:pic="http://schemas.openxmlformats.org/drawingml/2006/picture">
            <wp:extent cx="4572000" cy="2684920"/>
            <wp:docPr id="4" name="Picture 4"/>
            <wp:cNvGraphicFramePr>
              <a:graphicFrameLocks noChangeAspect="1"/>
            </wp:cNvGraphicFramePr>
            <a:graphic>
              <a:graphicData uri="http://schemas.openxmlformats.org/drawingml/2006/picture">
                <pic:pic>
                  <pic:nvPicPr>
                    <pic:cNvPr id="0" name="naming_trap_v2.png"/>
                    <pic:cNvPicPr/>
                  </pic:nvPicPr>
                  <pic:blipFill>
                    <a:blip r:embed="rId13"/>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r>
        <w:br w:type="page"/>
      </w:r>
    </w:p>
    <w:p>
      <w:pPr>
        <w:pStyle w:val="Heading2"/>
      </w:pPr>
      <w:r>
        <w:t>5.2 Seasonal Enrollment Patterns: Monthly Trends Analysis</w:t>
      </w:r>
    </w:p>
    <w:p>
      <w:r>
        <w:t>Analysis of monthly enrollment data reveals significant seasonal variation (Coefficient of Variation: 79.86%). September emerges as the peak enrollment month with 1.48 million registrations (27.15% of total), while the second half of the year (July-December) accounts for 607% more enrollments than the first half. This pattern indicates strong seasonal drivers in Aadhaar registration, with age group 0-5 dominating most months, suggesting family-based enrollment campaigns or school admission requirements driving registration behavior.</w:t>
      </w:r>
    </w:p>
    <w:p/>
    <w:p>
      <w:pPr>
        <w:jc w:val="center"/>
      </w:pPr>
      <w:r>
        <w:drawing>
          <wp:inline xmlns:a="http://schemas.openxmlformats.org/drawingml/2006/main" xmlns:pic="http://schemas.openxmlformats.org/drawingml/2006/picture">
            <wp:extent cx="5029200" cy="4182548"/>
            <wp:docPr id="5" name="Picture 5"/>
            <wp:cNvGraphicFramePr>
              <a:graphicFrameLocks noChangeAspect="1"/>
            </wp:cNvGraphicFramePr>
            <a:graphic>
              <a:graphicData uri="http://schemas.openxmlformats.org/drawingml/2006/picture">
                <pic:pic>
                  <pic:nvPicPr>
                    <pic:cNvPr id="0" name="monthly_enrollment_trends_v2.png"/>
                    <pic:cNvPicPr/>
                  </pic:nvPicPr>
                  <pic:blipFill>
                    <a:blip r:embed="rId14"/>
                    <a:stretch>
                      <a:fillRect/>
                    </a:stretch>
                  </pic:blipFill>
                  <pic:spPr>
                    <a:xfrm>
                      <a:off x="0" y="0"/>
                      <a:ext cx="5029200" cy="4182548"/>
                    </a:xfrm>
                    <a:prstGeom prst="rect"/>
                  </pic:spPr>
                </pic:pic>
              </a:graphicData>
            </a:graphic>
          </wp:inline>
        </w:drawing>
      </w:r>
    </w:p>
    <w:p>
      <w:pPr>
        <w:pStyle w:val="Caption"/>
        <w:jc w:val="center"/>
      </w:pPr>
      <w:r>
        <w:t>Exhibit B: Monthly Enrollment Trends and Age Group Distribution</w:t>
      </w:r>
    </w:p>
    <w:p/>
    <w:p>
      <w:pPr>
        <w:pStyle w:val="Heading2"/>
      </w:pPr>
      <w:r>
        <w:t>5.3 Administrative Bottlenecks: Process Coupling</w:t>
      </w:r>
    </w:p>
    <w:p>
      <w:r>
        <w:t>A strong Pearson correlation (r = 0.85, p &lt; 0.001) between child and adult updates indicates synchronized bulk processing at the operational level.</w:t>
      </w:r>
    </w:p>
    <w:p>
      <w:pPr>
        <w:jc w:val="center"/>
      </w:pPr>
      <w:r>
        <w:drawing>
          <wp:inline xmlns:a="http://schemas.openxmlformats.org/drawingml/2006/main" xmlns:pic="http://schemas.openxmlformats.org/drawingml/2006/picture">
            <wp:extent cx="4572000" cy="3370798"/>
            <wp:docPr id="6" name="Picture 6"/>
            <wp:cNvGraphicFramePr>
              <a:graphicFrameLocks noChangeAspect="1"/>
            </wp:cNvGraphicFramePr>
            <a:graphic>
              <a:graphicData uri="http://schemas.openxmlformats.org/drawingml/2006/picture">
                <pic:pic>
                  <pic:nvPicPr>
                    <pic:cNvPr id="0" name="adult_tsunami_v2.png"/>
                    <pic:cNvPicPr/>
                  </pic:nvPicPr>
                  <pic:blipFill>
                    <a:blip r:embed="rId15"/>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88K+ records from Ghost Districts.</w:t>
        <w:br/>
        <w:t>• Seasonal Campaign Optimization: Leverage September peak patterns to allocate resources efficiently and plan targeted enrollment drives.</w:t>
        <w:br/>
        <w:t>• LGD Synchronization: Mandatory use of Local Government Directory codes as API primary keys to prevent naming mismatches.</w:t>
        <w:br/>
        <w:t>• Process Decoupling: Separate child and adult update workflows to enable organic, real-time monitoring.</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6">
        <w:r>
          <w:rPr>
            <w:color w:val="0000FF"/>
          </w:rPr>
          <w:t>https://github.com/Akshay-gurav-31/UIDAI-DATA-HACKATHON-2026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footerReference w:type="default" r:id="rId1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Akshay-gurav-31/UIDAI-DATA-HACKATHON-2026"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