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Stakeholder Analysis</w:t>
      </w:r>
    </w:p>
    <w:p>
      <w:pPr>
        <w:jc w:val="center"/>
      </w:pPr>
      <w:r>
        <w:rPr>
          <w:i/>
          <w:sz w:val="22"/>
        </w:rPr>
        <w:t>SupportFlow – Business Analysis Case Study</w:t>
      </w:r>
    </w:p>
    <w:p>
      <w:r>
        <w:t>Stakeholders are identified based on their interaction with the support workflow, decision-making authority and information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Engagement</w:t>
            </w:r>
          </w:p>
        </w:tc>
      </w:tr>
      <w:tr>
        <w:tc>
          <w:tcPr>
            <w:tcW w:type="dxa" w:w="2160"/>
            <w:vAlign w:val="top"/>
          </w:tcPr>
          <w:p>
            <w:r>
              <w:t>Customer / End User</w:t>
            </w:r>
          </w:p>
        </w:tc>
        <w:tc>
          <w:tcPr>
            <w:tcW w:type="dxa" w:w="2160"/>
            <w:vAlign w:val="top"/>
          </w:tcPr>
          <w:p>
            <w:r>
              <w:t>Raises support requests</w:t>
            </w:r>
          </w:p>
        </w:tc>
        <w:tc>
          <w:tcPr>
            <w:tcW w:type="dxa" w:w="2160"/>
            <w:vAlign w:val="top"/>
          </w:tcPr>
          <w:p>
            <w:r>
              <w:t>Easy ticket creation and clear status</w:t>
            </w:r>
          </w:p>
        </w:tc>
        <w:tc>
          <w:tcPr>
            <w:tcW w:type="dxa" w:w="2160"/>
            <w:vAlign w:val="top"/>
          </w:tcPr>
          <w:p>
            <w:r>
              <w:t>Feedback / validation</w:t>
            </w:r>
          </w:p>
        </w:tc>
      </w:tr>
      <w:tr>
        <w:tc>
          <w:tcPr>
            <w:tcW w:type="dxa" w:w="2160"/>
            <w:vAlign w:val="top"/>
          </w:tcPr>
          <w:p>
            <w:r>
              <w:t>Support Agent</w:t>
            </w:r>
          </w:p>
        </w:tc>
        <w:tc>
          <w:tcPr>
            <w:tcW w:type="dxa" w:w="2160"/>
            <w:vAlign w:val="top"/>
          </w:tcPr>
          <w:p>
            <w:r>
              <w:t>Executes day-to-day workflow</w:t>
            </w:r>
          </w:p>
        </w:tc>
        <w:tc>
          <w:tcPr>
            <w:tcW w:type="dxa" w:w="2160"/>
            <w:vAlign w:val="top"/>
          </w:tcPr>
          <w:p>
            <w:r>
              <w:t>Correct routing and complete ticket context</w:t>
            </w:r>
          </w:p>
        </w:tc>
        <w:tc>
          <w:tcPr>
            <w:tcW w:type="dxa" w:w="2160"/>
            <w:vAlign w:val="top"/>
          </w:tcPr>
          <w:p>
            <w:r>
              <w:t>Workshops / UAT</w:t>
            </w:r>
          </w:p>
        </w:tc>
      </w:tr>
      <w:tr>
        <w:tc>
          <w:tcPr>
            <w:tcW w:type="dxa" w:w="2160"/>
            <w:vAlign w:val="top"/>
          </w:tcPr>
          <w:p>
            <w:r>
              <w:t>Support Manager</w:t>
            </w:r>
          </w:p>
        </w:tc>
        <w:tc>
          <w:tcPr>
            <w:tcW w:type="dxa" w:w="2160"/>
            <w:vAlign w:val="top"/>
          </w:tcPr>
          <w:p>
            <w:r>
              <w:t>Owns support performance</w:t>
            </w:r>
          </w:p>
        </w:tc>
        <w:tc>
          <w:tcPr>
            <w:tcW w:type="dxa" w:w="2160"/>
            <w:vAlign w:val="top"/>
          </w:tcPr>
          <w:p>
            <w:r>
              <w:t>SLA visibility and escalation controls</w:t>
            </w:r>
          </w:p>
        </w:tc>
        <w:tc>
          <w:tcPr>
            <w:tcW w:type="dxa" w:w="2160"/>
            <w:vAlign w:val="top"/>
          </w:tcPr>
          <w:p>
            <w:r>
              <w:t>Requirements / 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Product Manager</w:t>
            </w:r>
          </w:p>
        </w:tc>
        <w:tc>
          <w:tcPr>
            <w:tcW w:type="dxa" w:w="2160"/>
            <w:vAlign w:val="top"/>
          </w:tcPr>
          <w:p>
            <w:r>
              <w:t>Acts on recurring product issues</w:t>
            </w:r>
          </w:p>
        </w:tc>
        <w:tc>
          <w:tcPr>
            <w:tcW w:type="dxa" w:w="2160"/>
            <w:vAlign w:val="top"/>
          </w:tcPr>
          <w:p>
            <w:r>
              <w:t>Customer pain points and trends</w:t>
            </w:r>
          </w:p>
        </w:tc>
        <w:tc>
          <w:tcPr>
            <w:tcW w:type="dxa" w:w="2160"/>
            <w:vAlign w:val="top"/>
          </w:tcPr>
          <w:p>
            <w:r>
              <w:t>Analysis / prioritization</w:t>
            </w:r>
          </w:p>
        </w:tc>
      </w:tr>
      <w:tr>
        <w:tc>
          <w:tcPr>
            <w:tcW w:type="dxa" w:w="2160"/>
            <w:vAlign w:val="top"/>
          </w:tcPr>
          <w:p>
            <w:r>
              <w:t>Engineering</w:t>
            </w:r>
          </w:p>
        </w:tc>
        <w:tc>
          <w:tcPr>
            <w:tcW w:type="dxa" w:w="2160"/>
            <w:vAlign w:val="top"/>
          </w:tcPr>
          <w:p>
            <w:r>
              <w:t>Investigates technical issues</w:t>
            </w:r>
          </w:p>
        </w:tc>
        <w:tc>
          <w:tcPr>
            <w:tcW w:type="dxa" w:w="2160"/>
            <w:vAlign w:val="top"/>
          </w:tcPr>
          <w:p>
            <w:r>
              <w:t>Complete technical context</w:t>
            </w:r>
          </w:p>
        </w:tc>
        <w:tc>
          <w:tcPr>
            <w:tcW w:type="dxa" w:w="2160"/>
            <w:vAlign w:val="top"/>
          </w:tcPr>
          <w:p>
            <w:r>
              <w:t>Technical validation</w:t>
            </w:r>
          </w:p>
        </w:tc>
      </w:tr>
      <w:tr>
        <w:tc>
          <w:tcPr>
            <w:tcW w:type="dxa" w:w="2160"/>
            <w:vAlign w:val="top"/>
          </w:tcPr>
          <w:p>
            <w:r>
              <w:t>Operations / Leadership</w:t>
            </w:r>
          </w:p>
        </w:tc>
        <w:tc>
          <w:tcPr>
            <w:tcW w:type="dxa" w:w="2160"/>
            <w:vAlign w:val="top"/>
          </w:tcPr>
          <w:p>
            <w:r>
              <w:t>Reviews service outcomes</w:t>
            </w:r>
          </w:p>
        </w:tc>
        <w:tc>
          <w:tcPr>
            <w:tcW w:type="dxa" w:w="2160"/>
            <w:vAlign w:val="top"/>
          </w:tcPr>
          <w:p>
            <w:r>
              <w:t>KPIs and trend visibility</w:t>
            </w:r>
          </w:p>
        </w:tc>
        <w:tc>
          <w:tcPr>
            <w:tcW w:type="dxa" w:w="2160"/>
            <w:vAlign w:val="top"/>
          </w:tcPr>
          <w:p>
            <w:r>
              <w:t>Reporting / governance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