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9C5C6A" w:rsidR="00C948FE" w:rsidP="00C948FE" w:rsidRDefault="00C948FE" w14:textId="721DC6F2" w14:paraId="4CA1AEAD">
      <w:pPr>
        <w:pStyle w:val="NoSpacing"/>
        <w:spacing w:after="120"/>
        <w:jc w:val="both"/>
        <w:rPr>
          <w:rFonts w:ascii="Source Sans Pro" w:hAnsi="Source Sans Pro" w:cs="Calibri"/>
          <w:b w:val="1"/>
          <w:bCs w:val="1"/>
          <w:color w:val="000000" w:themeColor="text1"/>
        </w:rPr>
      </w:pPr>
      <w:r w:rsidRPr="009C5C6A">
        <w:rPr>
          <w:rFonts w:ascii="Source Sans Pro" w:hAnsi="Source Sans Pro"/>
          <w:b/>
          <w:bCs/>
          <w:noProof/>
          <w:color w:val="000000" w:themeColor="text1"/>
        </w:rPr>
        <mc:AlternateContent>
          <mc:Choice Requires="wps">
            <w:drawing>
              <wp:anchor distT="45720" distB="45720" distL="114300" distR="114300" simplePos="0" relativeHeight="251669504" behindDoc="0" locked="0" layoutInCell="1" allowOverlap="1" wp14:anchorId="7B662620" wp14:editId="6551D1F0">
                <wp:simplePos x="0" y="0"/>
                <wp:positionH relativeFrom="margin">
                  <wp:align>left</wp:align>
                </wp:positionH>
                <wp:positionV relativeFrom="paragraph">
                  <wp:posOffset>140335</wp:posOffset>
                </wp:positionV>
                <wp:extent cx="5534025" cy="266700"/>
                <wp:effectExtent l="0" t="0" r="28575" b="19050"/>
                <wp:wrapNone/>
                <wp:docPr id="6" name="Text Box 6"/>
                <wp:cNvGraphicFramePr>
                  <a:graphicFrameLocks/>
                </wp:cNvGraphicFramePr>
                <a:graphic>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C948FE" w:rsidP="00C948FE" w:rsidRDefault="00C948FE" w14:paraId="68251830" w14:textId="3B875228">
                            <w:pPr>
                              <w:rPr>
                                <w:b/>
                                <w:bCs/>
                                <w:color w:val="00B0F0"/>
                                <w:lang w:val="en-US"/>
                              </w:rPr>
                            </w:pPr>
                            <w:r w:rsidRPr="0084409A">
                              <w:rPr>
                                <w:b/>
                                <w:bCs/>
                                <w:color w:val="00B0F0"/>
                                <w:lang w:val="en-US"/>
                              </w:rPr>
                              <w:t xml:space="preserve">Report </w:t>
                            </w:r>
                            <w:r>
                              <w:rPr>
                                <w:b/>
                                <w:bCs/>
                                <w:color w:val="00B0F0"/>
                                <w:lang w:val="en-US"/>
                              </w:rPr>
                              <w:t>VI</w:t>
                            </w:r>
                            <w:r w:rsidRPr="0084409A">
                              <w:rPr>
                                <w:b/>
                                <w:bCs/>
                                <w:color w:val="00B0F0"/>
                                <w:lang w:val="en-US"/>
                              </w:rPr>
                              <w:t xml:space="preserve"> – </w:t>
                            </w:r>
                            <w:r>
                              <w:rPr>
                                <w:b/>
                                <w:bCs/>
                                <w:color w:val="00B0F0"/>
                                <w:lang w:val="en-US"/>
                              </w:rPr>
                              <w:t>Audit</w:t>
                            </w:r>
                            <w:r w:rsidRPr="0084409A">
                              <w:rPr>
                                <w:b/>
                                <w:bCs/>
                                <w:color w:val="00B0F0"/>
                                <w:lang w:val="en-US"/>
                              </w:rPr>
                              <w:t xml:space="preserve"> r</w:t>
                            </w:r>
                            <w:r w:rsidRPr="0084409A" w:rsidR="007A019E">
                              <w:rPr>
                                <w:b/>
                                <w:bCs/>
                                <w:color w:val="00B0F0"/>
                                <w:lang w:val="en-US"/>
                              </w:rPr>
                              <w:t>eport</w:t>
                            </w:r>
                            <w:r w:rsidRPr="0084409A">
                              <w:rPr>
                                <w:b/>
                                <w:bCs/>
                                <w:color w:val="00B0F0"/>
                                <w:lang w:val="en-US"/>
                              </w:rPr>
                              <w:t xml:space="preserve"> for </w:t>
                            </w:r>
                            <w:r w:rsidRPr="0084409A" w:rsidR="007A019E">
                              <w:rPr>
                                <w:b/>
                                <w:bCs/>
                                <w:color w:val="00B0F0"/>
                                <w:lang w:val="en-US"/>
                              </w:rPr>
                              <w:t xml:space="preserve">Standalone </w:t>
                            </w:r>
                            <w:r>
                              <w:rPr>
                                <w:b/>
                                <w:bCs/>
                                <w:color w:val="00B0F0"/>
                                <w:lang w:val="en-US"/>
                              </w:rPr>
                              <w:t>General</w:t>
                            </w:r>
                            <w:r w:rsidRPr="0084409A">
                              <w:rPr>
                                <w:b/>
                                <w:bCs/>
                                <w:color w:val="00B0F0"/>
                                <w:lang w:val="en-US"/>
                              </w:rPr>
                              <w:t xml:space="preserve"> </w:t>
                            </w:r>
                            <w:r w:rsidR="007A019E">
                              <w:rPr>
                                <w:b/>
                                <w:bCs/>
                                <w:color w:val="00B0F0"/>
                                <w:lang w:val="en-US"/>
                              </w:rPr>
                              <w:t>Insurance Company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 style="position:absolute;left:0;text-align:left;margin-left:0;margin-top:11.05pt;width:435.75pt;height:21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3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" w14:anchorId="7B662620">
                <v:textbox>
                  <w:txbxContent>
                    <w:p w:rsidRPr="0084409A" w:rsidR="00C948FE" w:rsidP="00C948FE" w:rsidRDefault="00C948FE" w14:paraId="68251830" w14:textId="3B875228">
                      <w:pPr>
                        <w:rPr>
                          <w:b/>
                          <w:bCs/>
                          <w:color w:val="00B0F0"/>
                          <w:lang w:val="en-US"/>
                        </w:rPr>
                      </w:pPr>
                      <w:r w:rsidRPr="0084409A">
                        <w:rPr>
                          <w:b/>
                          <w:bCs/>
                          <w:color w:val="00B0F0"/>
                          <w:lang w:val="en-US"/>
                        </w:rPr>
                        <w:t xml:space="preserve">Report </w:t>
                      </w:r>
                      <w:r>
                        <w:rPr>
                          <w:b/>
                          <w:bCs/>
                          <w:color w:val="00B0F0"/>
                          <w:lang w:val="en-US"/>
                        </w:rPr>
                        <w:t>VI</w:t>
                      </w:r>
                      <w:r w:rsidRPr="0084409A">
                        <w:rPr>
                          <w:b/>
                          <w:bCs/>
                          <w:color w:val="00B0F0"/>
                          <w:lang w:val="en-US"/>
                        </w:rPr>
                        <w:t xml:space="preserve"> – </w:t>
                      </w:r>
                      <w:r>
                        <w:rPr>
                          <w:b/>
                          <w:bCs/>
                          <w:color w:val="00B0F0"/>
                          <w:lang w:val="en-US"/>
                        </w:rPr>
                        <w:t>Audit</w:t>
                      </w:r>
                      <w:r w:rsidRPr="0084409A">
                        <w:rPr>
                          <w:b/>
                          <w:bCs/>
                          <w:color w:val="00B0F0"/>
                          <w:lang w:val="en-US"/>
                        </w:rPr>
                        <w:t xml:space="preserve"> r</w:t>
                      </w:r>
                      <w:r w:rsidRPr="0084409A" w:rsidR="007A019E">
                        <w:rPr>
                          <w:b/>
                          <w:bCs/>
                          <w:color w:val="00B0F0"/>
                          <w:lang w:val="en-US"/>
                        </w:rPr>
                        <w:t>eport</w:t>
                      </w:r>
                      <w:r w:rsidRPr="0084409A">
                        <w:rPr>
                          <w:b/>
                          <w:bCs/>
                          <w:color w:val="00B0F0"/>
                          <w:lang w:val="en-US"/>
                        </w:rPr>
                        <w:t xml:space="preserve"> for </w:t>
                      </w:r>
                      <w:r w:rsidRPr="0084409A" w:rsidR="007A019E">
                        <w:rPr>
                          <w:b/>
                          <w:bCs/>
                          <w:color w:val="00B0F0"/>
                          <w:lang w:val="en-US"/>
                        </w:rPr>
                        <w:t xml:space="preserve">Standalone </w:t>
                      </w:r>
                      <w:r>
                        <w:rPr>
                          <w:b/>
                          <w:bCs/>
                          <w:color w:val="00B0F0"/>
                          <w:lang w:val="en-US"/>
                        </w:rPr>
                        <w:t>General</w:t>
                      </w:r>
                      <w:r w:rsidRPr="0084409A">
                        <w:rPr>
                          <w:b/>
                          <w:bCs/>
                          <w:color w:val="00B0F0"/>
                          <w:lang w:val="en-US"/>
                        </w:rPr>
                        <w:t xml:space="preserve"> </w:t>
                      </w:r>
                      <w:r w:rsidR="007A019E">
                        <w:rPr>
                          <w:b/>
                          <w:bCs/>
                          <w:color w:val="00B0F0"/>
                          <w:lang w:val="en-US"/>
                        </w:rPr>
                        <w:t>Insurance Company</w:t>
                      </w:r>
                    </w:p>
                  </w:txbxContent>
                </v:textbox>
                <w10:wrap anchorx="margin"/>
              </v:shape>
            </w:pict>
          </mc:Fallback>
        </mc:AlternateContent>
      </w:r>
    </w:p>
    <w:p w:rsidRPr="009C5C6A" w:rsidR="00C948FE" w:rsidP="00C948FE" w:rsidRDefault="00C948FE" w14:paraId="41CC81BE" w14:textId="77777777">
      <w:pPr>
        <w:pStyle w:val="NoSpacing"/>
        <w:spacing w:after="120"/>
        <w:jc w:val="both"/>
        <w:rPr>
          <w:rFonts w:ascii="Source Sans Pro" w:hAnsi="Source Sans Pro" w:cs="Calibri"/>
          <w:b/>
          <w:bCs/>
          <w:color w:val="000000" w:themeColor="text1"/>
        </w:rPr>
      </w:pPr>
    </w:p>
    <w:p w:rsidRPr="009C5C6A" w:rsidR="00C948FE" w:rsidP="00C948FE" w:rsidRDefault="00C948FE" w14:paraId="61FA6561" w14:textId="77777777">
      <w:pPr>
        <w:pStyle w:val="NoSpacing"/>
        <w:spacing w:after="120"/>
        <w:jc w:val="both"/>
        <w:rPr>
          <w:rFonts w:ascii="Source Sans Pro" w:hAnsi="Source Sans Pro" w:cs="Calibri"/>
          <w:b/>
          <w:bCs/>
          <w:color w:val="000000" w:themeColor="text1"/>
        </w:rPr>
      </w:pPr>
    </w:p>
    <w:p w:rsidRPr="009C5C6A" w:rsidR="00C948FE" w:rsidP="00C948FE" w:rsidRDefault="00C948FE" w14:paraId="4B0CC086" w14:textId="38CD94A6">
      <w:pPr>
        <w:pStyle w:val="NoSpacing"/>
        <w:spacing w:after="120"/>
        <w:jc w:val="both"/>
        <w:rPr>
          <w:rFonts w:ascii="Source Sans Pro" w:hAnsi="Source Sans Pro" w:cs="Calibri"/>
          <w:b/>
          <w:bCs/>
          <w:color w:val="00B0F0"/>
        </w:rPr>
      </w:pPr>
      <w:r w:rsidRPr="009C5C6A">
        <w:rPr>
          <w:rFonts w:ascii="Source Sans Pro" w:hAnsi="Source Sans Pro" w:cs="Calibri"/>
          <w:b/>
          <w:bCs/>
          <w:color w:val="000000" w:themeColor="text1"/>
        </w:rPr>
        <w:t>Independent Auditor’s Report</w:t>
      </w:r>
    </w:p>
    <w:p w:rsidRPr="009C5C6A" w:rsidR="00C948FE" w:rsidP="00C948FE" w:rsidRDefault="00C948FE" w14:paraId="4342B663"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C948FE" w:rsidP="00C948FE" w:rsidRDefault="00C948FE" w14:paraId="715BC868"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C948FE" w:rsidP="00C948FE" w:rsidRDefault="00C948FE" w14:paraId="692432D1" w14:textId="77777777">
      <w:pPr>
        <w:spacing w:after="120"/>
        <w:jc w:val="both"/>
        <w:rPr>
          <w:rFonts w:ascii="Source Sans Pro" w:hAnsi="Source Sans Pro" w:cstheme="minorHAnsi"/>
        </w:rPr>
      </w:pPr>
      <w:r w:rsidRPr="009C5C6A">
        <w:rPr>
          <w:rFonts w:ascii="Source Sans Pro" w:hAnsi="Source Sans Pro" w:cstheme="minorHAnsi"/>
          <w:color w:val="00B0F0"/>
        </w:rPr>
        <w:t>[Name of the Company]</w:t>
      </w:r>
    </w:p>
    <w:p w:rsidRPr="009C5C6A" w:rsidR="00C948FE" w:rsidP="00C948FE" w:rsidRDefault="00C948FE" w14:paraId="2CBE71A4" w14:textId="77777777">
      <w:pPr>
        <w:spacing w:after="120"/>
        <w:jc w:val="both"/>
        <w:rPr>
          <w:rFonts w:ascii="Source Sans Pro" w:hAnsi="Source Sans Pro" w:cstheme="minorHAnsi"/>
          <w:b/>
          <w:bCs/>
        </w:rPr>
      </w:pPr>
      <w:r w:rsidRPr="009C5C6A">
        <w:rPr>
          <w:rFonts w:ascii="Source Sans Pro" w:hAnsi="Source Sans Pro" w:cstheme="minorHAnsi"/>
          <w:b/>
          <w:bCs/>
        </w:rPr>
        <w:t>Report on the audit of the Standalone Financial Statements</w:t>
      </w:r>
    </w:p>
    <w:p w:rsidRPr="009C5C6A" w:rsidR="00C948FE" w:rsidP="00C948FE" w:rsidRDefault="00C948FE" w14:paraId="211A61C5" w14:textId="77777777">
      <w:pPr>
        <w:spacing w:after="120"/>
        <w:jc w:val="both"/>
        <w:rPr>
          <w:rFonts w:ascii="Source Sans Pro" w:hAnsi="Source Sans Pro" w:cstheme="minorHAnsi"/>
          <w:b/>
          <w:bCs/>
        </w:rPr>
      </w:pPr>
      <w:r w:rsidRPr="009C5C6A">
        <w:rPr>
          <w:rFonts w:ascii="Source Sans Pro" w:hAnsi="Source Sans Pro" w:cstheme="minorHAnsi"/>
          <w:b/>
          <w:bCs/>
        </w:rPr>
        <w:t>Opinion</w:t>
      </w:r>
    </w:p>
    <w:p w:rsidRPr="009C5C6A" w:rsidR="00C948FE" w:rsidP="00C948FE" w:rsidRDefault="00C948FE" w14:paraId="0C257718" w14:textId="1F9E3DF6">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We have audited the accompanying standalone financial statements of [</w:t>
      </w:r>
      <w:r w:rsidRPr="009C5C6A">
        <w:rPr>
          <w:rFonts w:ascii="Source Sans Pro" w:hAnsi="Source Sans Pro" w:cstheme="minorHAnsi"/>
          <w:color w:val="00B0F0"/>
        </w:rPr>
        <w:t>Name of the Company</w:t>
      </w:r>
      <w:r w:rsidRPr="009C5C6A">
        <w:rPr>
          <w:rFonts w:ascii="Source Sans Pro" w:hAnsi="Source Sans Pro" w:cstheme="minorHAnsi"/>
        </w:rPr>
        <w:t xml:space="preserve">] (‘the Company’), which comprise the standalone balance sheet as at </w:t>
      </w:r>
      <w:r w:rsidR="00952A10">
        <w:rPr>
          <w:rFonts w:ascii="Source Sans Pro" w:hAnsi="Source Sans Pro" w:cstheme="minorHAnsi"/>
        </w:rPr>
        <w:t>31 March 2026</w:t>
      </w:r>
      <w:r w:rsidRPr="009C5C6A">
        <w:rPr>
          <w:rFonts w:ascii="Source Sans Pro" w:hAnsi="Source Sans Pro" w:cstheme="minorHAnsi"/>
        </w:rPr>
        <w:t xml:space="preserve">, the </w:t>
      </w:r>
      <w:r w:rsidRPr="009C5C6A">
        <w:rPr>
          <w:rFonts w:ascii="Source Sans Pro" w:hAnsi="Source Sans Pro" w:cstheme="minorHAnsi"/>
          <w:color w:val="000000" w:themeColor="text1"/>
        </w:rPr>
        <w:t>Revenue Accounts</w:t>
      </w:r>
      <w:r w:rsidRPr="009C5C6A">
        <w:rPr>
          <w:rFonts w:ascii="Source Sans Pro" w:hAnsi="Source Sans Pro" w:cstheme="minorHAnsi"/>
        </w:rPr>
        <w:t>, the Profit and Loss Account  and the Receipts and Payments Account for the year ended</w:t>
      </w:r>
      <w:r w:rsidRPr="009C5C6A" w:rsidR="00466580">
        <w:rPr>
          <w:rFonts w:ascii="Source Sans Pro" w:hAnsi="Source Sans Pro" w:cstheme="minorHAnsi"/>
        </w:rPr>
        <w:t xml:space="preserve"> on that date</w:t>
      </w:r>
      <w:r w:rsidRPr="009C5C6A">
        <w:rPr>
          <w:rFonts w:ascii="Source Sans Pro" w:hAnsi="Source Sans Pro" w:cstheme="minorHAnsi"/>
        </w:rPr>
        <w:t>, and the schedules annexed there to, including a summary of significant accounting policies and other explanatory information (herein after collectively referred to as ‘the Standalone Financial Statements’).</w:t>
      </w:r>
    </w:p>
    <w:p w:rsidRPr="009C5C6A" w:rsidR="00C948FE" w:rsidP="506927FE" w:rsidRDefault="00C948FE" w14:paraId="145693DC" w14:textId="0384BE67">
      <w:pPr>
        <w:pStyle w:val="ListParagraph"/>
        <w:numPr>
          <w:ilvl w:val="0"/>
          <w:numId w:val="17"/>
        </w:numPr>
        <w:spacing w:after="0"/>
        <w:ind w:left="425" w:hanging="425"/>
        <w:contextualSpacing w:val="0"/>
        <w:jc w:val="both"/>
        <w:rPr>
          <w:rFonts w:ascii="Source Sans Pro" w:hAnsi="Source Sans Pro" w:cs="Aptos" w:cstheme="minorAscii"/>
        </w:rPr>
      </w:pPr>
      <w:r w:rsidRPr="506927FE" w:rsidR="506927FE">
        <w:rPr>
          <w:rFonts w:ascii="Source Sans Pro" w:hAnsi="Source Sans Pro" w:cs="Aptos" w:cstheme="minorAscii"/>
        </w:rPr>
        <w:t xml:space="preserve">In our opinion and to the best of our information and according to the explanations given to us, the aforesaid Standalone Financial Statements give the information required by the provisions of the Insurance Act, 1938, as amended (the “Insurance Act”), the Insurance Regulatory and Development Authority Act, 1999, as </w:t>
      </w:r>
      <w:r w:rsidRPr="506927FE" w:rsidR="506927FE">
        <w:rPr>
          <w:rFonts w:ascii="Source Sans Pro" w:hAnsi="Source Sans Pro" w:cs="Aptos" w:cstheme="minorAscii"/>
        </w:rPr>
        <w:t>amended (“IRDAI Act”),</w:t>
      </w:r>
      <w:r w:rsidRPr="506927FE" w:rsidR="506927FE">
        <w:rPr>
          <w:rFonts w:ascii="Source Sans Pro" w:hAnsi="Source Sans Pro" w:cs="Aptos" w:cstheme="minorAscii"/>
        </w:rPr>
        <w:t xml:space="preserve"> the Insurance Regulatory and Development Authority</w:t>
      </w:r>
      <w:r w:rsidRPr="506927FE" w:rsidR="506927FE">
        <w:rPr>
          <w:rFonts w:ascii="Source Sans Pro" w:hAnsi="Source Sans Pro" w:cs="Aptos" w:cstheme="minorAscii"/>
        </w:rPr>
        <w:t xml:space="preserve"> </w:t>
      </w:r>
      <w:r w:rsidRPr="506927FE" w:rsidR="506927FE">
        <w:rPr>
          <w:rFonts w:ascii="Source Sans Pro" w:hAnsi="Source Sans Pro" w:cs="Aptos" w:cstheme="minorAscii"/>
        </w:rPr>
        <w:t>of India (Actuarial, Finance and Investment Functions of Insurers) Regulations, 2024 (the “IRDA Financial Statement Regulations”</w:t>
      </w:r>
      <w:r w:rsidRPr="506927FE" w:rsidR="506927FE">
        <w:rPr>
          <w:rFonts w:ascii="Source Sans Pro" w:hAnsi="Source Sans Pro" w:cs="Aptos" w:cstheme="minorAscii"/>
        </w:rPr>
        <w:t>)</w:t>
      </w:r>
      <w:r w:rsidRPr="506927FE" w:rsidR="506927FE">
        <w:rPr>
          <w:rFonts w:ascii="Source Sans Pro" w:hAnsi="Source Sans Pro" w:cs="Aptos" w:cstheme="minorAscii"/>
        </w:rPr>
        <w:t>, as amended (the “IRDA Financial Statements Regulations”), including circulars/ orders/directions issued by the</w:t>
      </w:r>
      <w:r w:rsidRPr="506927FE" w:rsidR="506927FE">
        <w:rPr>
          <w:rFonts w:ascii="Tahoma" w:hAnsi="Tahoma" w:eastAsia="Tahoma" w:cs="Tahoma"/>
          <w:noProof w:val="0"/>
          <w:sz w:val="20"/>
          <w:szCs w:val="20"/>
          <w:lang w:val="en-US"/>
        </w:rPr>
        <w:t xml:space="preserve"> </w:t>
      </w:r>
      <w:r w:rsidRPr="506927FE" w:rsidR="506927FE">
        <w:rPr>
          <w:rFonts w:ascii="Tahoma" w:hAnsi="Tahoma" w:eastAsia="Tahoma" w:cs="Tahoma"/>
          <w:noProof w:val="0"/>
          <w:color w:val="000000" w:themeColor="text1" w:themeTint="FF" w:themeShade="FF"/>
          <w:sz w:val="20"/>
          <w:szCs w:val="20"/>
          <w:lang w:val="en-US"/>
        </w:rPr>
        <w:t>Insurance Regulatory and Development Authority of India</w:t>
      </w:r>
      <w:r w:rsidRPr="506927FE" w:rsidR="506927FE">
        <w:rPr>
          <w:rFonts w:ascii="Source Sans Pro" w:hAnsi="Source Sans Pro" w:cs="Aptos" w:cstheme="minorAscii"/>
        </w:rPr>
        <w:t xml:space="preserve"> (the “IRDAI”) and the Companies Act, 2013, as amended (the “Act”), to the extent applicable, in the manner so required, to give a true and fair view in conformity with the Accounting Standards prescribed under Section 133 of the Act read with the Companies (Accounting Standards) Rules, 2021, </w:t>
      </w:r>
      <w:r w:rsidRPr="506927FE" w:rsidR="506927FE">
        <w:rPr>
          <w:rFonts w:ascii="Tahoma" w:hAnsi="Tahoma" w:eastAsia="Tahoma" w:cs="Tahoma"/>
          <w:noProof w:val="0"/>
          <w:sz w:val="20"/>
          <w:szCs w:val="20"/>
          <w:lang w:val="en-US"/>
        </w:rPr>
        <w:t>as amended</w:t>
      </w:r>
      <w:r w:rsidRPr="506927FE" w:rsidR="506927FE">
        <w:rPr>
          <w:rFonts w:ascii="Source Sans Pro" w:hAnsi="Source Sans Pro" w:cs="Aptos" w:cstheme="minorAscii"/>
        </w:rPr>
        <w:t xml:space="preserve"> (“AS”) and other accounting principles generally accepted in India, as applicable to Insurance </w:t>
      </w:r>
      <w:r w:rsidRPr="506927FE" w:rsidR="506927FE">
        <w:rPr>
          <w:rFonts w:ascii="Source Sans Pro" w:hAnsi="Source Sans Pro" w:cs="Aptos" w:cstheme="minorAscii"/>
          <w:color w:val="000000" w:themeColor="text1" w:themeTint="FF" w:themeShade="FF"/>
        </w:rPr>
        <w:t>companies</w:t>
      </w:r>
      <w:r w:rsidRPr="506927FE" w:rsidR="506927FE">
        <w:rPr>
          <w:rFonts w:ascii="Source Sans Pro" w:hAnsi="Source Sans Pro" w:cs="Aptos" w:cstheme="minorAscii"/>
        </w:rPr>
        <w:t>:</w:t>
      </w:r>
      <w:r w:rsidRPr="506927FE" w:rsidR="506927FE">
        <w:rPr>
          <w:rFonts w:ascii="Source Sans Pro" w:hAnsi="Source Sans Pro" w:cs="Aptos" w:cstheme="minorAscii"/>
          <w:strike w:val="1"/>
        </w:rPr>
        <w:t xml:space="preserve"> </w:t>
      </w:r>
    </w:p>
    <w:p w:rsidRPr="009C5C6A" w:rsidR="00C948FE" w:rsidP="00FB3BE6" w:rsidRDefault="00C948FE" w14:paraId="587324FB" w14:textId="77777777">
      <w:pPr>
        <w:pStyle w:val="ListParagraph"/>
        <w:spacing w:after="0"/>
        <w:ind w:left="425"/>
        <w:jc w:val="both"/>
        <w:rPr>
          <w:rFonts w:ascii="Source Sans Pro" w:hAnsi="Source Sans Pro" w:cstheme="minorHAnsi"/>
        </w:rPr>
      </w:pPr>
    </w:p>
    <w:p w:rsidRPr="009C5C6A" w:rsidR="00C948FE" w:rsidP="00C948FE" w:rsidRDefault="00C948FE" w14:paraId="545E84A7" w14:textId="04929A14">
      <w:pPr>
        <w:pStyle w:val="ListParagraph"/>
        <w:numPr>
          <w:ilvl w:val="1"/>
          <w:numId w:val="17"/>
        </w:numPr>
        <w:spacing w:after="0"/>
        <w:ind w:left="851"/>
        <w:contextualSpacing w:val="0"/>
        <w:jc w:val="both"/>
        <w:rPr>
          <w:rFonts w:ascii="Source Sans Pro" w:hAnsi="Source Sans Pro" w:cstheme="minorHAnsi"/>
        </w:rPr>
      </w:pPr>
      <w:r w:rsidRPr="009C5C6A">
        <w:rPr>
          <w:rFonts w:ascii="Source Sans Pro" w:hAnsi="Source Sans Pro" w:cstheme="minorHAnsi"/>
        </w:rPr>
        <w:t xml:space="preserve">in the case of the Balance Sheet, of the state of affairs of the Company as at </w:t>
      </w:r>
      <w:r w:rsidR="00952A10">
        <w:rPr>
          <w:rFonts w:ascii="Source Sans Pro" w:hAnsi="Source Sans Pro" w:cstheme="minorHAnsi"/>
        </w:rPr>
        <w:t>31 March 2026</w:t>
      </w:r>
      <w:r w:rsidRPr="009C5C6A">
        <w:rPr>
          <w:rFonts w:ascii="Source Sans Pro" w:hAnsi="Source Sans Pro" w:cstheme="minorHAnsi"/>
        </w:rPr>
        <w:t>;</w:t>
      </w:r>
    </w:p>
    <w:p w:rsidRPr="009C5C6A" w:rsidR="00C948FE" w:rsidP="00C948FE" w:rsidRDefault="00C948FE" w14:paraId="4913E1D8" w14:textId="7E54F056">
      <w:pPr>
        <w:pStyle w:val="ListParagraph"/>
        <w:numPr>
          <w:ilvl w:val="1"/>
          <w:numId w:val="17"/>
        </w:numPr>
        <w:spacing w:after="0"/>
        <w:ind w:left="851"/>
        <w:contextualSpacing w:val="0"/>
        <w:jc w:val="both"/>
        <w:rPr>
          <w:rFonts w:ascii="Source Sans Pro" w:hAnsi="Source Sans Pro" w:cstheme="minorHAnsi"/>
        </w:rPr>
      </w:pPr>
      <w:r w:rsidRPr="009C5C6A">
        <w:rPr>
          <w:rFonts w:ascii="Source Sans Pro" w:hAnsi="Source Sans Pro" w:cstheme="minorHAnsi"/>
        </w:rPr>
        <w:t xml:space="preserve">in the case of the Revenue Accounts, of the </w:t>
      </w:r>
      <w:r w:rsidRPr="009C5C6A" w:rsidR="00466580">
        <w:rPr>
          <w:rFonts w:ascii="Source Sans Pro" w:hAnsi="Source Sans Pro" w:cstheme="minorHAnsi"/>
        </w:rPr>
        <w:t xml:space="preserve">Operating </w:t>
      </w:r>
      <w:r w:rsidRPr="009C5C6A" w:rsidR="00466580">
        <w:rPr>
          <w:rFonts w:ascii="Source Sans Pro" w:hAnsi="Source Sans Pro" w:cstheme="minorHAnsi"/>
          <w:color w:val="00B0F0"/>
        </w:rPr>
        <w:t>Profit/Loss</w:t>
      </w:r>
      <w:r w:rsidRPr="009C5C6A" w:rsidR="00466580">
        <w:rPr>
          <w:rFonts w:ascii="Source Sans Pro" w:hAnsi="Source Sans Pro" w:cstheme="minorHAnsi"/>
        </w:rPr>
        <w:t xml:space="preserve"> </w:t>
      </w:r>
      <w:r w:rsidRPr="009C5C6A">
        <w:rPr>
          <w:rFonts w:ascii="Source Sans Pro" w:hAnsi="Source Sans Pro" w:cstheme="minorHAnsi"/>
        </w:rPr>
        <w:t xml:space="preserve">for the year ended </w:t>
      </w:r>
      <w:r w:rsidR="00952A10">
        <w:rPr>
          <w:rFonts w:ascii="Source Sans Pro" w:hAnsi="Source Sans Pro" w:cstheme="minorHAnsi"/>
        </w:rPr>
        <w:t>31 March 2026</w:t>
      </w:r>
      <w:r w:rsidRPr="009C5C6A">
        <w:rPr>
          <w:rFonts w:ascii="Source Sans Pro" w:hAnsi="Source Sans Pro" w:cstheme="minorHAnsi"/>
        </w:rPr>
        <w:t>;</w:t>
      </w:r>
    </w:p>
    <w:p w:rsidRPr="009C5C6A" w:rsidR="00C948FE" w:rsidP="00C948FE" w:rsidRDefault="00C948FE" w14:paraId="1ACBF9E2" w14:textId="4176A9D2">
      <w:pPr>
        <w:pStyle w:val="ListParagraph"/>
        <w:numPr>
          <w:ilvl w:val="1"/>
          <w:numId w:val="17"/>
        </w:numPr>
        <w:spacing w:after="0"/>
        <w:ind w:left="851"/>
        <w:contextualSpacing w:val="0"/>
        <w:jc w:val="both"/>
        <w:rPr>
          <w:rFonts w:ascii="Source Sans Pro" w:hAnsi="Source Sans Pro" w:cstheme="minorHAnsi"/>
        </w:rPr>
      </w:pPr>
      <w:r w:rsidRPr="009C5C6A">
        <w:rPr>
          <w:rFonts w:ascii="Source Sans Pro" w:hAnsi="Source Sans Pro" w:cstheme="minorHAnsi"/>
        </w:rPr>
        <w:t xml:space="preserve">in the case of the Profit and Loss Account, of the </w:t>
      </w:r>
      <w:r w:rsidRPr="009C5C6A" w:rsidR="00466580">
        <w:rPr>
          <w:rFonts w:ascii="Source Sans Pro" w:hAnsi="Source Sans Pro" w:cstheme="minorHAnsi"/>
          <w:color w:val="00B0F0"/>
        </w:rPr>
        <w:t>Profit/Loss</w:t>
      </w:r>
      <w:r w:rsidRPr="009C5C6A" w:rsidR="00466580">
        <w:rPr>
          <w:rFonts w:ascii="Source Sans Pro" w:hAnsi="Source Sans Pro" w:cstheme="minorHAnsi"/>
        </w:rPr>
        <w:t xml:space="preserve"> </w:t>
      </w:r>
      <w:r w:rsidRPr="009C5C6A">
        <w:rPr>
          <w:rFonts w:ascii="Source Sans Pro" w:hAnsi="Source Sans Pro" w:cstheme="minorHAnsi"/>
        </w:rPr>
        <w:t xml:space="preserve">for the year ended </w:t>
      </w:r>
      <w:r w:rsidR="00952A10">
        <w:rPr>
          <w:rFonts w:ascii="Source Sans Pro" w:hAnsi="Source Sans Pro" w:cstheme="minorHAnsi"/>
        </w:rPr>
        <w:t>31 March 2026</w:t>
      </w:r>
      <w:r w:rsidRPr="009C5C6A">
        <w:rPr>
          <w:rFonts w:ascii="Source Sans Pro" w:hAnsi="Source Sans Pro" w:cstheme="minorHAnsi"/>
        </w:rPr>
        <w:t>; and</w:t>
      </w:r>
    </w:p>
    <w:p w:rsidRPr="009C5C6A" w:rsidR="00C948FE" w:rsidP="00C948FE" w:rsidRDefault="00C948FE" w14:paraId="1E3E017C" w14:textId="23140385">
      <w:pPr>
        <w:pStyle w:val="ListParagraph"/>
        <w:numPr>
          <w:ilvl w:val="1"/>
          <w:numId w:val="17"/>
        </w:numPr>
        <w:spacing w:after="120"/>
        <w:ind w:left="851"/>
        <w:contextualSpacing w:val="0"/>
        <w:jc w:val="both"/>
        <w:rPr>
          <w:rFonts w:ascii="Source Sans Pro" w:hAnsi="Source Sans Pro" w:cstheme="minorHAnsi"/>
        </w:rPr>
      </w:pPr>
      <w:r w:rsidRPr="009C5C6A">
        <w:rPr>
          <w:rFonts w:ascii="Source Sans Pro" w:hAnsi="Source Sans Pro" w:cstheme="minorHAnsi"/>
        </w:rPr>
        <w:t xml:space="preserve">in the case of the Receipts and Payments Account, of the receipts and payments for the year ended </w:t>
      </w:r>
      <w:r w:rsidR="00952A10">
        <w:rPr>
          <w:rFonts w:ascii="Source Sans Pro" w:hAnsi="Source Sans Pro" w:cstheme="minorHAnsi"/>
        </w:rPr>
        <w:t>31 March 2026</w:t>
      </w:r>
      <w:r w:rsidRPr="009C5C6A">
        <w:rPr>
          <w:rFonts w:ascii="Source Sans Pro" w:hAnsi="Source Sans Pro" w:cstheme="minorHAnsi"/>
        </w:rPr>
        <w:t>.</w:t>
      </w:r>
    </w:p>
    <w:p w:rsidRPr="009C5C6A" w:rsidR="00C948FE" w:rsidP="00C948FE" w:rsidRDefault="00C948FE" w14:paraId="4BCBB63B"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C948FE" w:rsidP="00C948FE" w:rsidRDefault="00C948FE" w14:paraId="611ADA83" w14:textId="77777777">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xml:space="preserve">) specified under section 143(10) of the Act. Our responsibilities under those </w:t>
      </w:r>
      <w:r w:rsidRPr="009C5C6A">
        <w:rPr>
          <w:rFonts w:ascii="Source Sans Pro" w:hAnsi="Source Sans Pro" w:cstheme="minorHAnsi"/>
          <w:color w:val="000000" w:themeColor="text1"/>
        </w:rPr>
        <w:t xml:space="preserve">SAs </w:t>
      </w:r>
      <w:r w:rsidRPr="009C5C6A">
        <w:rPr>
          <w:rFonts w:ascii="Source Sans Pro" w:hAnsi="Source Sans Pro" w:cstheme="minorHAnsi"/>
        </w:rPr>
        <w:t>are further described in the Auditor’s Responsibilities for the Audit of the Standalone Financial Statements section of our report. 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 on the Standalone Financial Statements.</w:t>
      </w:r>
    </w:p>
    <w:p w:rsidRPr="009C5C6A" w:rsidR="00C948FE" w:rsidP="00C948FE" w:rsidRDefault="00C948FE" w14:paraId="5E3DAEB3"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C948FE" w:rsidP="00C948FE" w:rsidRDefault="00C948FE" w14:paraId="7F64046E" w14:textId="77777777">
      <w:pPr>
        <w:pStyle w:val="ListParagraph"/>
        <w:numPr>
          <w:ilvl w:val="0"/>
          <w:numId w:val="17"/>
        </w:numPr>
        <w:spacing w:after="120"/>
        <w:ind w:left="425" w:hanging="425"/>
        <w:contextualSpacing w:val="0"/>
        <w:jc w:val="both"/>
        <w:rPr>
          <w:rFonts w:ascii="Source Sans Pro" w:hAnsi="Source Sans Pro" w:cs="Calibri"/>
          <w:color w:val="00B0F0"/>
        </w:rPr>
      </w:pPr>
      <w:r w:rsidRPr="009C5C6A">
        <w:rPr>
          <w:rFonts w:ascii="Source Sans Pro" w:hAnsi="Source Sans Pro" w:cs="Calibri"/>
          <w:color w:val="00B0F0"/>
        </w:rPr>
        <w:lastRenderedPageBreak/>
        <w:t xml:space="preserve">[Insert Emphasis of Matter paragraph, if any]. Our opinion is not modified in respect of this </w:t>
      </w:r>
      <w:r w:rsidRPr="009C5C6A">
        <w:rPr>
          <w:rFonts w:ascii="Source Sans Pro" w:hAnsi="Source Sans Pro" w:cs="Calibri"/>
        </w:rPr>
        <w:t>[</w:t>
      </w:r>
      <w:r w:rsidRPr="009C5C6A">
        <w:rPr>
          <w:rFonts w:ascii="Source Sans Pro" w:hAnsi="Source Sans Pro" w:cs="Calibri"/>
          <w:color w:val="00B0F0"/>
        </w:rPr>
        <w:t>these</w:t>
      </w:r>
      <w:r w:rsidRPr="009C5C6A">
        <w:rPr>
          <w:rFonts w:ascii="Source Sans Pro" w:hAnsi="Source Sans Pro" w:cs="Calibri"/>
        </w:rPr>
        <w:t>]</w:t>
      </w:r>
      <w:r w:rsidRPr="009C5C6A">
        <w:rPr>
          <w:rFonts w:ascii="Source Sans Pro" w:hAnsi="Source Sans Pro" w:cs="Calibri"/>
          <w:color w:val="00B0F0"/>
        </w:rPr>
        <w:t xml:space="preserve"> above matter</w:t>
      </w:r>
      <w:r w:rsidRPr="009C5C6A">
        <w:rPr>
          <w:rFonts w:ascii="Source Sans Pro" w:hAnsi="Source Sans Pro" w:cs="Calibri"/>
        </w:rPr>
        <w:t>[</w:t>
      </w:r>
      <w:r w:rsidRPr="009C5C6A">
        <w:rPr>
          <w:rFonts w:ascii="Source Sans Pro" w:hAnsi="Source Sans Pro" w:cs="Calibri"/>
          <w:color w:val="00B0F0"/>
        </w:rPr>
        <w:t>s</w:t>
      </w:r>
      <w:r w:rsidRPr="009C5C6A">
        <w:rPr>
          <w:rFonts w:ascii="Source Sans Pro" w:hAnsi="Source Sans Pro" w:cs="Calibri"/>
        </w:rPr>
        <w:t>]</w:t>
      </w:r>
      <w:r w:rsidRPr="009C5C6A">
        <w:rPr>
          <w:rFonts w:ascii="Source Sans Pro" w:hAnsi="Source Sans Pro" w:cs="Calibri"/>
          <w:color w:val="00B0F0"/>
        </w:rPr>
        <w:t>.</w:t>
      </w:r>
    </w:p>
    <w:p w:rsidRPr="009C5C6A" w:rsidR="00C948FE" w:rsidP="00C948FE" w:rsidRDefault="00C948FE" w14:paraId="06EA3485" w14:textId="77777777">
      <w:pPr>
        <w:spacing w:after="120"/>
        <w:jc w:val="both"/>
        <w:rPr>
          <w:rFonts w:ascii="Source Sans Pro" w:hAnsi="Source Sans Pro" w:cs="Calibri"/>
          <w:b/>
          <w:bCs/>
        </w:rPr>
      </w:pPr>
      <w:r w:rsidRPr="009C5C6A">
        <w:rPr>
          <w:rFonts w:ascii="Source Sans Pro" w:hAnsi="Source Sans Pro" w:cs="Calibri"/>
          <w:b/>
          <w:bCs/>
        </w:rPr>
        <w:t>Key Audit Matters</w:t>
      </w:r>
    </w:p>
    <w:p w:rsidRPr="009C5C6A" w:rsidR="00C948FE" w:rsidP="00C948FE" w:rsidRDefault="00C948FE" w14:paraId="61ED9108" w14:textId="77777777">
      <w:pPr>
        <w:pStyle w:val="ListParagraph"/>
        <w:numPr>
          <w:ilvl w:val="0"/>
          <w:numId w:val="17"/>
        </w:numPr>
        <w:spacing w:after="120"/>
        <w:ind w:left="425" w:hanging="425"/>
        <w:contextualSpacing w:val="0"/>
        <w:jc w:val="both"/>
        <w:rPr>
          <w:rFonts w:ascii="Source Sans Pro" w:hAnsi="Source Sans Pro" w:cstheme="minorHAnsi"/>
          <w:color w:val="00B0F0"/>
        </w:rPr>
      </w:pPr>
      <w:r w:rsidRPr="009C5C6A">
        <w:rPr>
          <w:rFonts w:ascii="Source Sans Pro" w:hAnsi="Source Sans Pro" w:cstheme="minorHAnsi"/>
          <w:color w:val="00B0F0"/>
        </w:rPr>
        <w:t>Key audit matters are those matters that, in our professional judgment, were of most significance in our audit of the standalone financial statements of the current year. These matters were addressed in the context of our audit of the Standalone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185"/>
        <w:gridCol w:w="4737"/>
      </w:tblGrid>
      <w:tr w:rsidRPr="009C5C6A" w:rsidR="00C948FE" w:rsidTr="00F01A04" w14:paraId="095F6F0F" w14:textId="77777777">
        <w:trPr>
          <w:trHeight w:val="279"/>
        </w:trPr>
        <w:tc>
          <w:tcPr>
            <w:tcW w:w="5185" w:type="dxa"/>
          </w:tcPr>
          <w:p w:rsidRPr="009C5C6A" w:rsidR="00C948FE" w:rsidP="00F01A04" w:rsidRDefault="00C948FE" w14:paraId="71E1BB04" w14:textId="77777777">
            <w:pPr>
              <w:ind w:left="426"/>
              <w:jc w:val="center"/>
              <w:rPr>
                <w:rFonts w:ascii="Source Sans Pro" w:hAnsi="Source Sans Pro" w:cstheme="minorHAnsi"/>
                <w:b/>
                <w:bCs/>
                <w:color w:val="00B0F0"/>
              </w:rPr>
            </w:pPr>
            <w:r w:rsidRPr="009C5C6A">
              <w:rPr>
                <w:rFonts w:ascii="Source Sans Pro" w:hAnsi="Source Sans Pro" w:cstheme="minorHAnsi"/>
                <w:b/>
                <w:bCs/>
                <w:color w:val="00B0F0"/>
              </w:rPr>
              <w:t>Key Audit Matter</w:t>
            </w:r>
          </w:p>
        </w:tc>
        <w:tc>
          <w:tcPr>
            <w:tcW w:w="4737" w:type="dxa"/>
          </w:tcPr>
          <w:p w:rsidRPr="009C5C6A" w:rsidR="00C948FE" w:rsidP="00F01A04" w:rsidRDefault="00C948FE" w14:paraId="7BD083DB" w14:textId="77777777">
            <w:pPr>
              <w:ind w:left="426"/>
              <w:jc w:val="center"/>
              <w:rPr>
                <w:rFonts w:ascii="Source Sans Pro" w:hAnsi="Source Sans Pro" w:cstheme="minorHAnsi"/>
                <w:b/>
                <w:bCs/>
                <w:color w:val="00B0F0"/>
              </w:rPr>
            </w:pPr>
            <w:r w:rsidRPr="009C5C6A">
              <w:rPr>
                <w:rFonts w:ascii="Source Sans Pro" w:hAnsi="Source Sans Pro" w:cstheme="minorHAnsi"/>
                <w:b/>
                <w:bCs/>
                <w:color w:val="00B0F0"/>
              </w:rPr>
              <w:t>How the matter was addressed in our audit</w:t>
            </w:r>
          </w:p>
        </w:tc>
      </w:tr>
      <w:tr w:rsidRPr="009C5C6A" w:rsidR="00C948FE" w:rsidTr="00F01A04" w14:paraId="0EEC5A56" w14:textId="77777777">
        <w:trPr>
          <w:trHeight w:val="263"/>
        </w:trPr>
        <w:tc>
          <w:tcPr>
            <w:tcW w:w="5185" w:type="dxa"/>
          </w:tcPr>
          <w:p w:rsidRPr="009C5C6A" w:rsidR="00C948FE" w:rsidP="00F01A04" w:rsidRDefault="00C948FE" w14:paraId="2D3447BA" w14:textId="77777777">
            <w:pPr>
              <w:pStyle w:val="ListParagraph"/>
              <w:ind w:left="426"/>
              <w:jc w:val="both"/>
              <w:rPr>
                <w:rFonts w:ascii="Source Sans Pro" w:hAnsi="Source Sans Pro" w:cstheme="minorHAnsi"/>
                <w:color w:val="00B0F0"/>
              </w:rPr>
            </w:pPr>
          </w:p>
        </w:tc>
        <w:tc>
          <w:tcPr>
            <w:tcW w:w="4737" w:type="dxa"/>
          </w:tcPr>
          <w:p w:rsidRPr="009C5C6A" w:rsidR="00C948FE" w:rsidP="00F01A04" w:rsidRDefault="00C948FE" w14:paraId="49B063AA" w14:textId="77777777">
            <w:pPr>
              <w:ind w:left="426"/>
              <w:jc w:val="both"/>
              <w:rPr>
                <w:rFonts w:ascii="Source Sans Pro" w:hAnsi="Source Sans Pro" w:cstheme="minorHAnsi"/>
                <w:color w:val="00B0F0"/>
              </w:rPr>
            </w:pPr>
          </w:p>
        </w:tc>
      </w:tr>
      <w:tr w:rsidRPr="009C5C6A" w:rsidR="00C948FE" w:rsidTr="00F01A04" w14:paraId="17C7032C" w14:textId="77777777">
        <w:trPr>
          <w:trHeight w:val="279"/>
        </w:trPr>
        <w:tc>
          <w:tcPr>
            <w:tcW w:w="5185" w:type="dxa"/>
          </w:tcPr>
          <w:p w:rsidRPr="009C5C6A" w:rsidR="00C948FE" w:rsidP="00F01A04" w:rsidRDefault="00C948FE" w14:paraId="1C524619" w14:textId="77777777">
            <w:pPr>
              <w:pStyle w:val="ListParagraph"/>
              <w:ind w:left="426"/>
              <w:jc w:val="both"/>
              <w:rPr>
                <w:rFonts w:ascii="Source Sans Pro" w:hAnsi="Source Sans Pro" w:cstheme="minorHAnsi"/>
                <w:color w:val="00B0F0"/>
              </w:rPr>
            </w:pPr>
          </w:p>
        </w:tc>
        <w:tc>
          <w:tcPr>
            <w:tcW w:w="4737" w:type="dxa"/>
          </w:tcPr>
          <w:p w:rsidRPr="009C5C6A" w:rsidR="00C948FE" w:rsidP="00F01A04" w:rsidRDefault="00C948FE" w14:paraId="1B57F10B" w14:textId="77777777">
            <w:pPr>
              <w:ind w:left="426"/>
              <w:jc w:val="both"/>
              <w:rPr>
                <w:rFonts w:ascii="Source Sans Pro" w:hAnsi="Source Sans Pro" w:cstheme="minorHAnsi"/>
                <w:color w:val="00B0F0"/>
              </w:rPr>
            </w:pPr>
          </w:p>
        </w:tc>
      </w:tr>
      <w:tr w:rsidRPr="009C5C6A" w:rsidR="00C948FE" w:rsidTr="00F01A04" w14:paraId="420541A0" w14:textId="77777777">
        <w:trPr>
          <w:trHeight w:val="263"/>
        </w:trPr>
        <w:tc>
          <w:tcPr>
            <w:tcW w:w="5185" w:type="dxa"/>
          </w:tcPr>
          <w:p w:rsidRPr="009C5C6A" w:rsidR="00C948FE" w:rsidP="00F01A04" w:rsidRDefault="00C948FE" w14:paraId="48D17019" w14:textId="77777777">
            <w:pPr>
              <w:pStyle w:val="ListParagraph"/>
              <w:ind w:left="426"/>
              <w:jc w:val="both"/>
              <w:rPr>
                <w:rFonts w:ascii="Source Sans Pro" w:hAnsi="Source Sans Pro" w:cstheme="minorHAnsi"/>
                <w:color w:val="00B0F0"/>
              </w:rPr>
            </w:pPr>
          </w:p>
        </w:tc>
        <w:tc>
          <w:tcPr>
            <w:tcW w:w="4737" w:type="dxa"/>
          </w:tcPr>
          <w:p w:rsidRPr="009C5C6A" w:rsidR="00C948FE" w:rsidP="00F01A04" w:rsidRDefault="00C948FE" w14:paraId="25C64301" w14:textId="77777777">
            <w:pPr>
              <w:ind w:left="426"/>
              <w:jc w:val="both"/>
              <w:rPr>
                <w:rFonts w:ascii="Source Sans Pro" w:hAnsi="Source Sans Pro" w:cstheme="minorHAnsi"/>
                <w:color w:val="00B0F0"/>
              </w:rPr>
            </w:pPr>
          </w:p>
        </w:tc>
      </w:tr>
    </w:tbl>
    <w:p w:rsidRPr="009C5C6A" w:rsidR="00C948FE" w:rsidP="00C948FE" w:rsidRDefault="00C948FE" w14:paraId="5EB35CCF" w14:textId="77777777">
      <w:pPr>
        <w:spacing w:after="0"/>
        <w:ind w:left="426"/>
        <w:jc w:val="both"/>
        <w:rPr>
          <w:rFonts w:ascii="Source Sans Pro" w:hAnsi="Source Sans Pro" w:cstheme="minorHAnsi"/>
          <w:color w:val="000000" w:themeColor="text1"/>
        </w:rPr>
      </w:pPr>
    </w:p>
    <w:p w:rsidRPr="009C5C6A" w:rsidR="00C948FE" w:rsidP="00C948FE" w:rsidRDefault="00C948FE" w14:paraId="21FC4831"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 xml:space="preserve">Other Information </w:t>
      </w:r>
    </w:p>
    <w:p w:rsidRPr="009C5C6A" w:rsidR="00C948FE" w:rsidP="00C948FE" w:rsidRDefault="00C948FE" w14:paraId="666A5538" w14:textId="33842B43">
      <w:pPr>
        <w:pStyle w:val="ListParagraph"/>
        <w:numPr>
          <w:ilvl w:val="0"/>
          <w:numId w:val="17"/>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 xml:space="preserve">The Company’s Board of Directors </w:t>
      </w:r>
      <w:r w:rsidRPr="009C5C6A">
        <w:rPr>
          <w:rFonts w:ascii="Source Sans Pro" w:hAnsi="Source Sans Pro" w:cstheme="minorHAnsi"/>
        </w:rPr>
        <w:t xml:space="preserve">is </w:t>
      </w:r>
      <w:r w:rsidRPr="009C5C6A">
        <w:rPr>
          <w:rFonts w:ascii="Source Sans Pro" w:hAnsi="Source Sans Pro" w:cstheme="minorHAnsi"/>
          <w:color w:val="000000" w:themeColor="text1"/>
        </w:rPr>
        <w:t xml:space="preserve">responsible for the other information. The other information comprises </w:t>
      </w:r>
      <w:r w:rsidRPr="009C5C6A">
        <w:rPr>
          <w:rFonts w:ascii="Source Sans Pro" w:hAnsi="Source Sans Pro" w:cstheme="minorHAnsi"/>
        </w:rPr>
        <w:t xml:space="preserve">the information included in the Company’s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Pr>
          <w:rFonts w:ascii="Source Sans Pro" w:hAnsi="Source Sans Pro" w:cstheme="minorHAnsi"/>
        </w:rPr>
        <w:t xml:space="preserve"> but does not include the Standalone Financial Statements and our auditors’ report thereon which we have obtained prior to the date of this Auditor’s Report. [</w:t>
      </w:r>
      <w:r w:rsidRPr="009C5C6A">
        <w:rPr>
          <w:rFonts w:ascii="Source Sans Pro" w:hAnsi="Source Sans Pro" w:cstheme="minorHAnsi"/>
          <w:color w:val="00B0F0"/>
        </w:rPr>
        <w:t>The Other Information is expected to be made available to us after the date of this auditor’s report</w:t>
      </w:r>
      <w:r w:rsidRPr="009C5C6A">
        <w:rPr>
          <w:rFonts w:ascii="Source Sans Pro" w:hAnsi="Source Sans Pro" w:cstheme="minorHAnsi"/>
        </w:rPr>
        <w:t>]</w:t>
      </w:r>
    </w:p>
    <w:p w:rsidRPr="009C5C6A" w:rsidR="00C948FE" w:rsidP="00C948FE" w:rsidRDefault="00C948FE" w14:paraId="185421E2" w14:textId="77777777">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 xml:space="preserve">Our opinion on the Standalone Financial Statements does not cover the other information and we do not express any form of assurance conclusion thereon. </w:t>
      </w:r>
    </w:p>
    <w:p w:rsidRPr="009C5C6A" w:rsidR="00C948FE" w:rsidP="00C948FE" w:rsidRDefault="00C948FE" w14:paraId="6EA49B16" w14:textId="4AB79E3C">
      <w:pPr>
        <w:pStyle w:val="ListParagraph"/>
        <w:numPr>
          <w:ilvl w:val="0"/>
          <w:numId w:val="17"/>
        </w:numPr>
        <w:jc w:val="both"/>
        <w:rPr>
          <w:rFonts w:ascii="Source Sans Pro" w:hAnsi="Source Sans Pro" w:cstheme="minorHAnsi"/>
        </w:rPr>
      </w:pPr>
      <w:r w:rsidRPr="009C5C6A">
        <w:rPr>
          <w:rFonts w:ascii="Source Sans Pro" w:hAnsi="Source Sans Pro" w:cstheme="minorHAnsi"/>
        </w:rPr>
        <w:t xml:space="preserve">In connection with our audit of the Standalone Financial Statements, our responsibility is to read the other information </w:t>
      </w:r>
      <w:r w:rsidRPr="009C5C6A" w:rsidR="00636E25">
        <w:rPr>
          <w:rFonts w:ascii="Source Sans Pro" w:hAnsi="Source Sans Pro" w:cstheme="minorHAnsi"/>
          <w:color w:val="00B0F0"/>
        </w:rPr>
        <w:t>identified above when it becomes available</w:t>
      </w:r>
      <w:r w:rsidRPr="009C5C6A" w:rsidR="00636E25">
        <w:rPr>
          <w:rFonts w:ascii="Source Sans Pro" w:hAnsi="Source Sans Pro" w:cstheme="minorHAnsi"/>
          <w:color w:val="000000" w:themeColor="text1"/>
        </w:rPr>
        <w:t xml:space="preserve"> </w:t>
      </w:r>
      <w:r w:rsidRPr="009C5C6A">
        <w:rPr>
          <w:rFonts w:ascii="Source Sans Pro" w:hAnsi="Source Sans Pro" w:cstheme="minorHAnsi"/>
        </w:rPr>
        <w:t xml:space="preserve">and, in doing so, consider whether the other information is materially inconsistent with the Standalone Financial Statements or our knowledge obtained in the audit or otherwise appears to be materially misstated. If, based on the work we have performed,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rPr>
        <w:t xml:space="preserve">. </w:t>
      </w:r>
      <w:r w:rsidRPr="009C5C6A">
        <w:rPr>
          <w:rFonts w:ascii="Source Sans Pro" w:hAnsi="Source Sans Pro" w:cstheme="minorHAnsi"/>
          <w:color w:val="4EA72E" w:themeColor="accent6"/>
        </w:rPr>
        <w:t>[To be removed in case data not received]</w:t>
      </w:r>
    </w:p>
    <w:p w:rsidRPr="009C5C6A" w:rsidR="00636E25" w:rsidP="00FB3BE6" w:rsidRDefault="00636E25" w14:paraId="34165468" w14:textId="77777777">
      <w:pPr>
        <w:pStyle w:val="ListParagraph"/>
        <w:ind w:left="360"/>
        <w:jc w:val="both"/>
        <w:rPr>
          <w:rFonts w:ascii="Source Sans Pro" w:hAnsi="Source Sans Pro" w:cstheme="minorHAnsi"/>
        </w:rPr>
      </w:pPr>
    </w:p>
    <w:p w:rsidRPr="009C5C6A" w:rsidR="00636E25" w:rsidP="00636E25" w:rsidRDefault="00636E25" w14:paraId="55A8A951" w14:textId="15511D87">
      <w:pPr>
        <w:pStyle w:val="ListParagraph"/>
        <w:numPr>
          <w:ilvl w:val="0"/>
          <w:numId w:val="17"/>
        </w:numPr>
        <w:spacing w:after="120"/>
        <w:jc w:val="both"/>
        <w:rPr>
          <w:rFonts w:ascii="Source Sans Pro" w:hAnsi="Source Sans Pro" w:cstheme="minorHAnsi"/>
          <w:color w:val="4EA72E" w:themeColor="accent6"/>
        </w:rPr>
      </w:pPr>
      <w:r w:rsidRPr="009C5C6A">
        <w:rPr>
          <w:rFonts w:ascii="Source Sans Pro" w:hAnsi="Source Sans Pro" w:cstheme="minorHAnsi"/>
          <w:color w:val="000000" w:themeColor="text1"/>
        </w:rPr>
        <w:t xml:space="preserve">When we read the Annual Report, if we conclude that there is a material misstatement therein, we are required to communicate the matter to those charged with governance and take appropriate action as applicable under the relevant laws and regulations. </w:t>
      </w:r>
      <w:r w:rsidRPr="009C5C6A" w:rsidR="002F3E02">
        <w:rPr>
          <w:rFonts w:ascii="Source Sans Pro" w:hAnsi="Source Sans Pro" w:cstheme="minorHAnsi"/>
          <w:color w:val="4EA72E" w:themeColor="accent6"/>
        </w:rPr>
        <w:t>[T</w:t>
      </w:r>
      <w:r w:rsidRPr="009C5C6A">
        <w:rPr>
          <w:rFonts w:ascii="Source Sans Pro" w:hAnsi="Source Sans Pro" w:cstheme="minorHAnsi"/>
          <w:color w:val="4EA72E" w:themeColor="accent6"/>
        </w:rPr>
        <w:t>o</w:t>
      </w:r>
      <w:r w:rsidRPr="009C5C6A" w:rsidR="002F3E02">
        <w:rPr>
          <w:rFonts w:ascii="Source Sans Pro" w:hAnsi="Source Sans Pro" w:cstheme="minorHAnsi"/>
          <w:color w:val="4EA72E" w:themeColor="accent6"/>
        </w:rPr>
        <w:t xml:space="preserve"> be </w:t>
      </w:r>
      <w:r w:rsidRPr="009C5C6A">
        <w:rPr>
          <w:rFonts w:ascii="Source Sans Pro" w:hAnsi="Source Sans Pro" w:cstheme="minorHAnsi"/>
          <w:color w:val="4EA72E" w:themeColor="accent6"/>
        </w:rPr>
        <w:t>add</w:t>
      </w:r>
      <w:r w:rsidRPr="009C5C6A" w:rsidR="002F3E02">
        <w:rPr>
          <w:rFonts w:ascii="Source Sans Pro" w:hAnsi="Source Sans Pro" w:cstheme="minorHAnsi"/>
          <w:color w:val="4EA72E" w:themeColor="accent6"/>
        </w:rPr>
        <w:t>ed</w:t>
      </w:r>
      <w:r w:rsidRPr="009C5C6A">
        <w:rPr>
          <w:rFonts w:ascii="Source Sans Pro" w:hAnsi="Source Sans Pro" w:cstheme="minorHAnsi"/>
          <w:color w:val="4EA72E" w:themeColor="accent6"/>
        </w:rPr>
        <w:t xml:space="preserve"> in case data is not received</w:t>
      </w:r>
      <w:r w:rsidRPr="009C5C6A" w:rsidR="002F3E02">
        <w:rPr>
          <w:rFonts w:ascii="Source Sans Pro" w:hAnsi="Source Sans Pro" w:cstheme="minorHAnsi"/>
          <w:color w:val="4EA72E" w:themeColor="accent6"/>
        </w:rPr>
        <w:t>]</w:t>
      </w:r>
    </w:p>
    <w:p w:rsidRPr="009C5C6A" w:rsidR="00636E25" w:rsidP="00FB3BE6" w:rsidRDefault="00636E25" w14:paraId="141977F8" w14:textId="77777777">
      <w:pPr>
        <w:pStyle w:val="ListParagraph"/>
        <w:ind w:left="360"/>
        <w:jc w:val="both"/>
        <w:rPr>
          <w:rFonts w:ascii="Source Sans Pro" w:hAnsi="Source Sans Pro" w:cstheme="minorHAnsi"/>
        </w:rPr>
      </w:pPr>
    </w:p>
    <w:p w:rsidRPr="009C5C6A" w:rsidR="00C948FE" w:rsidP="00C948FE" w:rsidRDefault="00C948FE" w14:paraId="3BDE9FD7" w14:textId="77777777">
      <w:pPr>
        <w:spacing w:after="120"/>
        <w:jc w:val="both"/>
        <w:rPr>
          <w:rFonts w:ascii="Source Sans Pro" w:hAnsi="Source Sans Pro" w:cstheme="minorHAnsi"/>
          <w:b/>
          <w:bCs/>
        </w:rPr>
      </w:pPr>
      <w:r w:rsidRPr="009C5C6A">
        <w:rPr>
          <w:rFonts w:ascii="Source Sans Pro" w:hAnsi="Source Sans Pro" w:cstheme="minorHAnsi"/>
          <w:b/>
          <w:bCs/>
        </w:rPr>
        <w:t>Responsibilities of Management and Those Charged with Governance for the Standalone Financial Statements</w:t>
      </w:r>
    </w:p>
    <w:p w:rsidRPr="009C5C6A" w:rsidR="00C948FE" w:rsidP="00C948FE" w:rsidRDefault="00C948FE" w14:paraId="66A6D6E4" w14:textId="36311F6B">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cstheme="minorHAnsi"/>
        </w:rPr>
        <w:t xml:space="preserve">The Company’s Board of Directors is responsible for the matters stated in section 134(5) of the Act, with respect to the preparation of these Standalone Financial Statements that give a true and fair view of the Balance Sheet, the related Revenue Account, the Profit and Loss Account and Receipts and Payments Account of the Company in accordance with the requirements of the Insurance Act, 1938 as amended by Insurance Laws (Amendment) Act, 2015, read with the IRDAI Act, the regulations, orders/directions issued by the IRDAI in this regard and in accordance with the Accounting Standards specified under section 133 of the Act </w:t>
      </w:r>
      <w:r w:rsidRPr="009C5C6A" w:rsidR="00636E25">
        <w:rPr>
          <w:rFonts w:ascii="Source Sans Pro" w:hAnsi="Source Sans Pro" w:cstheme="minorHAnsi"/>
          <w:color w:val="000000" w:themeColor="text1"/>
        </w:rPr>
        <w:t>read with the Companies (Accounting Standards) Rules, 2021, and other accounting principles generally accepted in India</w:t>
      </w:r>
      <w:r w:rsidRPr="009C5C6A">
        <w:rPr>
          <w:rFonts w:ascii="Source Sans Pro" w:hAnsi="Source Sans Pro" w:cstheme="minorHAnsi"/>
        </w:rPr>
        <w:t xml:space="preserve">, to the extent applicable and in the manner so required. This responsibility also includes maintenance of adequate accounting records in accordance with the provisions of the Act for safeguarding of the assets of the Company and for preventing and detecting frauds and other irregularities; </w:t>
      </w:r>
      <w:r w:rsidRPr="009C5C6A" w:rsidR="007A019E">
        <w:rPr>
          <w:rFonts w:ascii="Source Sans Pro" w:hAnsi="Source Sans Pro"/>
        </w:rPr>
        <w:t xml:space="preserve">selection of the appropriate accounting software for ensuring compliance with applicable laws and regulations including those related to retention of audit logs; </w:t>
      </w:r>
      <w:r w:rsidRPr="009C5C6A">
        <w:rPr>
          <w:rFonts w:ascii="Source Sans Pro" w:hAnsi="Source Sans Pro" w:cstheme="minorHAnsi"/>
        </w:rPr>
        <w:t xml:space="preserve">selection and application of appropriate </w:t>
      </w:r>
      <w:r w:rsidRPr="009C5C6A">
        <w:rPr>
          <w:rFonts w:ascii="Source Sans Pro" w:hAnsi="Source Sans Pro" w:cstheme="minorHAnsi"/>
        </w:rPr>
        <w:lastRenderedPageBreak/>
        <w:t>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Standalone Financial Statements that give a true and fair view and are free from material misstatement, whether due to fraud or error.</w:t>
      </w:r>
    </w:p>
    <w:p w:rsidRPr="009C5C6A" w:rsidR="00C948FE" w:rsidP="00C948FE" w:rsidRDefault="00C948FE" w14:paraId="298ED63A" w14:textId="77777777">
      <w:pPr>
        <w:pStyle w:val="ListParagraph"/>
        <w:numPr>
          <w:ilvl w:val="0"/>
          <w:numId w:val="17"/>
        </w:numPr>
        <w:spacing w:after="120"/>
        <w:ind w:left="425" w:hanging="425"/>
        <w:jc w:val="both"/>
        <w:rPr>
          <w:rFonts w:ascii="Source Sans Pro" w:hAnsi="Source Sans Pro"/>
        </w:rPr>
      </w:pPr>
      <w:r w:rsidRPr="009C5C6A">
        <w:rPr>
          <w:rFonts w:ascii="Source Sans Pro" w:hAnsi="Source Sans Pro"/>
        </w:rPr>
        <w:t xml:space="preserve">In </w:t>
      </w:r>
      <w:r w:rsidRPr="009C5C6A">
        <w:rPr>
          <w:rFonts w:ascii="Source Sans Pro" w:hAnsi="Source Sans Pro"/>
          <w:color w:val="000000" w:themeColor="text1"/>
        </w:rPr>
        <w:t xml:space="preserve">preparing the Standalone Financial Statements, the </w:t>
      </w:r>
      <w:r w:rsidRPr="009C5C6A">
        <w:rPr>
          <w:rFonts w:ascii="Source Sans Pro" w:hAnsi="Source Sans Pro"/>
        </w:rPr>
        <w:t>Board of Directors</w:t>
      </w:r>
      <w:r w:rsidRPr="009C5C6A">
        <w:rPr>
          <w:rFonts w:ascii="Source Sans Pro" w:hAnsi="Source Sans Pro"/>
          <w:color w:val="000000" w:themeColor="text1"/>
        </w:rPr>
        <w:t xml:space="preserve"> is responsible for assessing the Company’s ability to continue as a going concern, disclosing, as applicable, matters related to going concern and using the going concern basis of accounting unless the Board of Directors</w:t>
      </w:r>
      <w:r w:rsidRPr="009C5C6A">
        <w:rPr>
          <w:rFonts w:ascii="Source Sans Pro" w:hAnsi="Source Sans Pro"/>
        </w:rPr>
        <w:t xml:space="preserve"> either intends to liquidate the Company or to cease operations, or has no realistic alternative but to do so.</w:t>
      </w:r>
    </w:p>
    <w:p w:rsidRPr="009C5C6A" w:rsidR="00C948FE" w:rsidP="00FB3BE6" w:rsidRDefault="00C948FE" w14:paraId="67BD2A09" w14:textId="77777777">
      <w:pPr>
        <w:pStyle w:val="ListParagraph"/>
        <w:spacing w:after="120"/>
        <w:ind w:left="425"/>
        <w:jc w:val="both"/>
        <w:rPr>
          <w:rFonts w:ascii="Source Sans Pro" w:hAnsi="Source Sans Pro"/>
        </w:rPr>
      </w:pPr>
    </w:p>
    <w:p w:rsidRPr="009C5C6A" w:rsidR="00C948FE" w:rsidP="00C948FE" w:rsidRDefault="00C948FE" w14:paraId="5F029999" w14:textId="26A0EC8F">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rPr>
        <w:t>The Board of Directors is also responsible for overseeing the Company’s financial reporting process.</w:t>
      </w:r>
    </w:p>
    <w:p w:rsidRPr="009C5C6A" w:rsidR="00C948FE" w:rsidP="00C948FE" w:rsidRDefault="00C948FE" w14:paraId="01CB65DE"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Standalone Financial Statements</w:t>
      </w:r>
    </w:p>
    <w:p w:rsidRPr="009C5C6A" w:rsidR="00C948FE" w:rsidP="00C948FE" w:rsidRDefault="00C948FE" w14:paraId="730F9C9C" w14:textId="5344DB25">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rPr>
        <w:t>Our objectives are to obtain reasonable assurance about whether the Standalone Financial Statements as a whole are free from material misstatement, whether due to fraud or error, and to issue an auditor’s report that includes our opinion. Reasonable assurance is a high level of assurance,</w:t>
      </w:r>
      <w:r w:rsidRPr="009C5C6A" w:rsidR="002F3E02">
        <w:rPr>
          <w:rFonts w:ascii="Source Sans Pro" w:hAnsi="Source Sans Pro"/>
        </w:rPr>
        <w:t xml:space="preserve"> </w:t>
      </w:r>
      <w:r w:rsidRPr="009C5C6A">
        <w:rPr>
          <w:rFonts w:ascii="Source Sans Pro" w:hAnsi="Source Sans Pro"/>
        </w:rPr>
        <w:t>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Standalone Financial Statements.</w:t>
      </w:r>
    </w:p>
    <w:p w:rsidRPr="009C5C6A" w:rsidR="00C948FE" w:rsidP="00C948FE" w:rsidRDefault="00C948FE" w14:paraId="38F7F7E6" w14:textId="77777777">
      <w:pPr>
        <w:pStyle w:val="ListParagraph"/>
        <w:numPr>
          <w:ilvl w:val="0"/>
          <w:numId w:val="17"/>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As part of an audit in accordance with SAs, we exercise professional judgment and maintain professional </w:t>
      </w:r>
      <w:proofErr w:type="spellStart"/>
      <w:r w:rsidRPr="009C5C6A">
        <w:rPr>
          <w:rFonts w:ascii="Source Sans Pro" w:hAnsi="Source Sans Pro"/>
          <w:color w:val="000000" w:themeColor="text1"/>
        </w:rPr>
        <w:t>skepticism</w:t>
      </w:r>
      <w:proofErr w:type="spellEnd"/>
      <w:r w:rsidRPr="009C5C6A">
        <w:rPr>
          <w:rFonts w:ascii="Source Sans Pro" w:hAnsi="Source Sans Pro"/>
          <w:color w:val="000000" w:themeColor="text1"/>
        </w:rPr>
        <w:t xml:space="preserve"> throughout the audit. We also:</w:t>
      </w:r>
    </w:p>
    <w:p w:rsidRPr="009C5C6A" w:rsidR="00C948FE" w:rsidP="00C948FE" w:rsidRDefault="00C948FE" w14:paraId="1BEDFA43" w14:textId="77777777">
      <w:pPr>
        <w:pStyle w:val="ListParagraph"/>
        <w:numPr>
          <w:ilvl w:val="1"/>
          <w:numId w:val="18"/>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C948FE" w:rsidP="00C948FE" w:rsidRDefault="00C948FE" w14:paraId="13A6AFAA" w14:textId="77777777">
      <w:pPr>
        <w:pStyle w:val="ListParagraph"/>
        <w:numPr>
          <w:ilvl w:val="1"/>
          <w:numId w:val="18"/>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eastAsia="Times New Roman" w:cstheme="minorHAnsi"/>
          <w:snapToGrid w:val="0"/>
          <w:lang w:val="en-US"/>
        </w:rPr>
        <w:t>i</w:t>
      </w:r>
      <w:proofErr w:type="spellEnd"/>
      <w:r w:rsidRPr="009C5C6A">
        <w:rPr>
          <w:rFonts w:ascii="Source Sans Pro" w:hAnsi="Source Sans Pro" w:eastAsia="Times New Roman" w:cstheme="minorHAnsi"/>
          <w:snapToGrid w:val="0"/>
          <w:lang w:val="en-US"/>
        </w:rPr>
        <w:t>) the Act, we are also responsible for expressing our opinion on whether the Company has adequate internal financial controls with reference to Standalone Financial Statements in place and the operating effectiveness of such controls.</w:t>
      </w:r>
    </w:p>
    <w:p w:rsidRPr="009C5C6A" w:rsidR="00C948FE" w:rsidP="00C948FE" w:rsidRDefault="00C948FE" w14:paraId="7CADBFA1" w14:textId="77777777">
      <w:pPr>
        <w:pStyle w:val="ListParagraph"/>
        <w:numPr>
          <w:ilvl w:val="1"/>
          <w:numId w:val="18"/>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 xml:space="preserve">Evaluate the appropriateness of accounting policies used and the reasonableness of accounting estimates and related disclosures </w:t>
      </w:r>
      <w:r w:rsidRPr="009C5C6A">
        <w:rPr>
          <w:rFonts w:ascii="Source Sans Pro" w:hAnsi="Source Sans Pro" w:cstheme="minorHAnsi"/>
          <w:color w:val="000000" w:themeColor="text1"/>
        </w:rPr>
        <w:t>made by the Management</w:t>
      </w:r>
      <w:r w:rsidRPr="009C5C6A">
        <w:rPr>
          <w:rFonts w:ascii="Source Sans Pro" w:hAnsi="Source Sans Pro" w:cstheme="minorHAnsi"/>
        </w:rPr>
        <w:t xml:space="preserve">. </w:t>
      </w:r>
    </w:p>
    <w:p w:rsidRPr="009C5C6A" w:rsidR="00C948FE" w:rsidP="00C948FE" w:rsidRDefault="00C948FE" w14:paraId="309D9081" w14:textId="77777777">
      <w:pPr>
        <w:pStyle w:val="ListParagraph"/>
        <w:numPr>
          <w:ilvl w:val="1"/>
          <w:numId w:val="18"/>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 xml:space="preserve">Conclude on the appropriateness of the </w:t>
      </w:r>
      <w:r w:rsidRPr="009C5C6A">
        <w:rPr>
          <w:rFonts w:ascii="Source Sans Pro" w:hAnsi="Source Sans Pro" w:cstheme="minorHAnsi"/>
          <w:color w:val="000000" w:themeColor="text1"/>
        </w:rPr>
        <w:t xml:space="preserve">Management’s </w:t>
      </w:r>
      <w:r w:rsidRPr="009C5C6A">
        <w:rPr>
          <w:rFonts w:ascii="Source Sans Pro" w:hAnsi="Source Sans Pro" w:eastAsia="Times New Roman" w:cstheme="minorHAnsi"/>
          <w:snapToGrid w:val="0"/>
          <w:lang w:val="en-US"/>
        </w:rPr>
        <w:t>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rsidRPr="009C5C6A" w:rsidR="00C948FE" w:rsidP="00C948FE" w:rsidRDefault="00C948FE" w14:paraId="27BD7902" w14:textId="77777777">
      <w:pPr>
        <w:pStyle w:val="ListParagraph"/>
        <w:numPr>
          <w:ilvl w:val="1"/>
          <w:numId w:val="18"/>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rsidRPr="009C5C6A" w:rsidR="00C948FE" w:rsidP="00C948FE" w:rsidRDefault="00C948FE" w14:paraId="2AD81AE5" w14:textId="77777777">
      <w:pPr>
        <w:pStyle w:val="ListParagraph"/>
        <w:numPr>
          <w:ilvl w:val="0"/>
          <w:numId w:val="17"/>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lastRenderedPageBreak/>
        <w:t>We communicate with those charged with governance regarding, among other matters, the planned scope and timing of the audit and significant audit findings, including any significant deficiencies in internal control that we identify during our audit.</w:t>
      </w:r>
    </w:p>
    <w:p w:rsidRPr="009C5C6A" w:rsidR="002F3E02" w:rsidP="00C948FE" w:rsidRDefault="00C948FE" w14:paraId="35C07678" w14:textId="1397EFF0">
      <w:pPr>
        <w:pStyle w:val="ListParagraph"/>
        <w:numPr>
          <w:ilvl w:val="0"/>
          <w:numId w:val="17"/>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9C5C6A" w:rsidR="00C948FE" w:rsidP="00FB3BE6" w:rsidRDefault="00C948FE" w14:paraId="24D294C2" w14:textId="154083C0">
      <w:pPr>
        <w:pStyle w:val="ListParagraph"/>
        <w:numPr>
          <w:ilvl w:val="0"/>
          <w:numId w:val="17"/>
        </w:numPr>
        <w:spacing w:after="120"/>
        <w:ind w:left="425" w:hanging="425"/>
        <w:contextualSpacing w:val="0"/>
        <w:jc w:val="both"/>
        <w:rPr>
          <w:rFonts w:ascii="Source Sans Pro" w:hAnsi="Source Sans Pro" w:cstheme="minorHAnsi"/>
          <w:b/>
          <w:bCs/>
          <w:color w:val="000000" w:themeColor="text1"/>
        </w:rPr>
      </w:pPr>
      <w:r w:rsidRPr="009C5C6A">
        <w:rPr>
          <w:rFonts w:ascii="Source Sans Pro" w:hAnsi="Source Sans Pro"/>
          <w:color w:val="00B0F0"/>
        </w:rPr>
        <w:t>From the matters communicated with those charged with governance, we determine those matters that were of most significance in the audit of the Standalone Financial Statements of the current period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rsidRPr="009C5C6A" w:rsidR="00C948FE" w:rsidP="00C948FE" w:rsidRDefault="00C948FE" w14:paraId="3DA19C16"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Other Matters</w:t>
      </w:r>
    </w:p>
    <w:p w:rsidR="00C948FE" w:rsidP="00C948FE" w:rsidRDefault="00C948FE" w14:paraId="7BEDC803" w14:textId="5F515BD7">
      <w:pPr>
        <w:pStyle w:val="ListParagraph"/>
        <w:numPr>
          <w:ilvl w:val="0"/>
          <w:numId w:val="17"/>
        </w:numPr>
        <w:spacing w:after="120"/>
        <w:jc w:val="both"/>
        <w:rPr>
          <w:rFonts w:ascii="Source Sans Pro" w:hAnsi="Source Sans Pro"/>
        </w:rPr>
      </w:pPr>
      <w:r w:rsidRPr="009C5C6A">
        <w:rPr>
          <w:rFonts w:ascii="Source Sans Pro" w:hAnsi="Source Sans Pro"/>
        </w:rPr>
        <w:t xml:space="preserve">The actuarial valuation of liabilities in respect of Claims Incurred But Not Reported (IBNR) and Claims Incurred But Not Enough Reported (IBNER) included under claims outstanding and Premium Deficiency Reserve (PDR) is the responsibility of the Company’s Appointed Actuary. The actuarial valuation of these liabilities as at </w:t>
      </w:r>
      <w:r w:rsidR="00952A10">
        <w:rPr>
          <w:rFonts w:ascii="Source Sans Pro" w:hAnsi="Source Sans Pro"/>
        </w:rPr>
        <w:t>31 March 2026</w:t>
      </w:r>
      <w:r w:rsidRPr="009C5C6A">
        <w:rPr>
          <w:rFonts w:ascii="Source Sans Pro" w:hAnsi="Source Sans Pro"/>
        </w:rPr>
        <w:t xml:space="preserve"> has been duly certified by the Appointed Actuary. The Appointed Actuary has also certified that in his opinion, the assumptions for such valuation are in accordance with guidelines and norms, issued by the IRDAI and the Institute of Actuaries of India in concurrence with the IRDAI. We have relied upon the Company’s Appointed Actuary’s certificate in this regard for forming our opinion on the financials statements of the Company. </w:t>
      </w:r>
    </w:p>
    <w:p w:rsidR="000F1E57" w:rsidP="004F69EF" w:rsidRDefault="000F1E57" w14:paraId="029655CC" w14:textId="35413C5B">
      <w:pPr>
        <w:pStyle w:val="ListParagraph"/>
        <w:spacing w:after="120"/>
        <w:ind w:left="360"/>
        <w:jc w:val="both"/>
        <w:rPr>
          <w:rFonts w:ascii="Source Sans Pro" w:hAnsi="Source Sans Pro"/>
        </w:rPr>
      </w:pPr>
      <w:r>
        <w:rPr>
          <w:rFonts w:ascii="Source Sans Pro" w:hAnsi="Source Sans Pro"/>
        </w:rPr>
        <w:t xml:space="preserve">Our </w:t>
      </w:r>
      <w:r w:rsidRPr="009C5C6A">
        <w:rPr>
          <w:rFonts w:ascii="Source Sans Pro" w:hAnsi="Source Sans Pro"/>
        </w:rPr>
        <w:t>opinion is not modified in respect of this matter.</w:t>
      </w:r>
    </w:p>
    <w:p w:rsidRPr="00044F94" w:rsidR="00C948FE" w:rsidP="00044F94" w:rsidRDefault="000F1E57" w14:paraId="4C459225" w14:textId="0B4D319F">
      <w:pPr>
        <w:pStyle w:val="pf0"/>
        <w:numPr>
          <w:ilvl w:val="0"/>
          <w:numId w:val="17"/>
        </w:numPr>
        <w:jc w:val="both"/>
        <w:rPr>
          <w:rFonts w:ascii="Source Sans Pro" w:hAnsi="Source Sans Pro" w:cs="Arial"/>
          <w:color w:val="00B0F0"/>
          <w:sz w:val="22"/>
          <w:szCs w:val="22"/>
        </w:rPr>
      </w:pPr>
      <w:r w:rsidRPr="00B6236A">
        <w:rPr>
          <w:rStyle w:val="cf01"/>
          <w:rFonts w:ascii="Source Sans Pro" w:hAnsi="Source Sans Pro" w:eastAsiaTheme="majorEastAsia"/>
          <w:color w:val="00B0F0"/>
          <w:sz w:val="22"/>
          <w:szCs w:val="22"/>
        </w:rPr>
        <w:t xml:space="preserve">The Standalone Financial Statements of the </w:t>
      </w:r>
      <w:r>
        <w:rPr>
          <w:rStyle w:val="cf01"/>
          <w:rFonts w:ascii="Source Sans Pro" w:hAnsi="Source Sans Pro" w:eastAsiaTheme="majorEastAsia"/>
          <w:color w:val="00B0F0"/>
          <w:sz w:val="22"/>
          <w:szCs w:val="22"/>
        </w:rPr>
        <w:t>Company</w:t>
      </w:r>
      <w:r w:rsidRPr="00B6236A">
        <w:rPr>
          <w:rStyle w:val="cf01"/>
          <w:rFonts w:ascii="Source Sans Pro" w:hAnsi="Source Sans Pro" w:eastAsiaTheme="majorEastAsia"/>
          <w:color w:val="00B0F0"/>
          <w:sz w:val="22"/>
          <w:szCs w:val="22"/>
        </w:rPr>
        <w:t xml:space="preserve"> for the year ended 31 March 2025 were audited by erstwhile Statutory auditors whose reports dated XX Month 20XX expressed an unmodified opinion on those Standalone Financial Statements. Our opinion is not modified in respect of this matter.</w:t>
      </w:r>
    </w:p>
    <w:p w:rsidRPr="009C5C6A" w:rsidR="00C948FE" w:rsidP="00C948FE" w:rsidRDefault="00C948FE" w14:paraId="57A42EEE"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C948FE" w:rsidP="00C948FE" w:rsidRDefault="00C948FE" w14:paraId="50A9508E" w14:textId="2B7560D4">
      <w:pPr>
        <w:pStyle w:val="ListParagraph"/>
        <w:numPr>
          <w:ilvl w:val="0"/>
          <w:numId w:val="17"/>
        </w:numPr>
        <w:spacing w:after="120"/>
        <w:ind w:left="425" w:hanging="425"/>
        <w:contextualSpacing w:val="0"/>
        <w:jc w:val="both"/>
        <w:rPr>
          <w:rFonts w:ascii="Source Sans Pro" w:hAnsi="Source Sans Pro" w:cstheme="minorHAnsi"/>
        </w:rPr>
      </w:pPr>
      <w:r w:rsidRPr="009C5C6A">
        <w:rPr>
          <w:rFonts w:ascii="Source Sans Pro" w:hAnsi="Source Sans Pro"/>
        </w:rPr>
        <w:t xml:space="preserve">As required by the Regulations, we have issued a separate certificate dated </w:t>
      </w:r>
      <w:r w:rsidRPr="00025F6C" w:rsidR="00DC356C">
        <w:rPr>
          <w:rFonts w:ascii="Source Sans Pro" w:hAnsi="Source Sans Pro"/>
          <w:color w:val="000000" w:themeColor="text1"/>
        </w:rPr>
        <w:t xml:space="preserve">[XX] [Month] 20XX </w:t>
      </w:r>
      <w:r w:rsidRPr="009C5C6A">
        <w:rPr>
          <w:rFonts w:ascii="Source Sans Pro" w:hAnsi="Source Sans Pro"/>
        </w:rPr>
        <w:t xml:space="preserve">certifying the matters specified in paragraphs 3 and 4 of </w:t>
      </w:r>
      <w:r w:rsidR="003B5C8E">
        <w:rPr>
          <w:rFonts w:ascii="Source Sans Pro" w:hAnsi="Source Sans Pro"/>
        </w:rPr>
        <w:t>Part III of Schedule II of Chapter II</w:t>
      </w:r>
      <w:r w:rsidRPr="009C5C6A">
        <w:rPr>
          <w:rFonts w:ascii="Source Sans Pro" w:hAnsi="Source Sans Pro"/>
        </w:rPr>
        <w:t xml:space="preserve"> to the Regulations.</w:t>
      </w:r>
    </w:p>
    <w:p w:rsidRPr="009C5C6A" w:rsidR="00C948FE" w:rsidP="00C948FE" w:rsidRDefault="00C948FE" w14:paraId="0A84273D" w14:textId="31A948B2">
      <w:pPr>
        <w:pStyle w:val="ListParagraph"/>
        <w:numPr>
          <w:ilvl w:val="0"/>
          <w:numId w:val="17"/>
        </w:numPr>
        <w:spacing w:after="120"/>
        <w:jc w:val="both"/>
        <w:rPr>
          <w:rFonts w:ascii="Source Sans Pro" w:hAnsi="Source Sans Pro"/>
        </w:rPr>
      </w:pPr>
      <w:r w:rsidRPr="009C5C6A">
        <w:rPr>
          <w:rFonts w:ascii="Source Sans Pro" w:hAnsi="Source Sans Pro"/>
        </w:rPr>
        <w:t>Further to our comments in the Certificate referred to in para [</w:t>
      </w:r>
      <w:r w:rsidRPr="009C5C6A">
        <w:rPr>
          <w:rFonts w:ascii="Source Sans Pro" w:hAnsi="Source Sans Pro"/>
          <w:color w:val="00B0F0"/>
        </w:rPr>
        <w:t>…</w:t>
      </w:r>
      <w:r w:rsidRPr="009C5C6A">
        <w:rPr>
          <w:rFonts w:ascii="Source Sans Pro" w:hAnsi="Source Sans Pro"/>
        </w:rPr>
        <w:t>] above, as required under the Regulations, read with Section 143(3) of the Act, we further report that:</w:t>
      </w:r>
    </w:p>
    <w:p w:rsidRPr="009C5C6A" w:rsidR="00C948FE" w:rsidP="00FB3BE6" w:rsidRDefault="00C948FE" w14:paraId="0AE205DD" w14:textId="77777777">
      <w:pPr>
        <w:pStyle w:val="ListParagraph"/>
        <w:spacing w:after="120"/>
        <w:ind w:left="360"/>
        <w:jc w:val="both"/>
        <w:rPr>
          <w:rFonts w:ascii="Source Sans Pro" w:hAnsi="Source Sans Pro"/>
        </w:rPr>
      </w:pPr>
    </w:p>
    <w:p w:rsidRPr="009C5C6A" w:rsidR="00C948FE" w:rsidP="00C948FE" w:rsidRDefault="00C948FE" w14:paraId="1C079354" w14:textId="77777777">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We have sought and obtained all the information and explanations which to the best of our knowledge and belief were necessary for the purposes of our audit and have found them to be satisfactory.</w:t>
      </w:r>
    </w:p>
    <w:p w:rsidRPr="0077051A" w:rsidR="00C948FE" w:rsidP="00C948FE" w:rsidRDefault="00C948FE" w14:paraId="69ABBF27" w14:textId="07A358A1">
      <w:pPr>
        <w:pStyle w:val="ListParagraph"/>
        <w:numPr>
          <w:ilvl w:val="1"/>
          <w:numId w:val="19"/>
        </w:numPr>
        <w:spacing w:after="120"/>
        <w:ind w:left="992" w:hanging="567"/>
        <w:contextualSpacing w:val="0"/>
        <w:jc w:val="both"/>
        <w:rPr>
          <w:rFonts w:ascii="Source Sans Pro" w:hAnsi="Source Sans Pro"/>
          <w:color w:val="00B0F0"/>
        </w:rPr>
      </w:pPr>
      <w:r w:rsidRPr="009C5C6A">
        <w:rPr>
          <w:rFonts w:ascii="Source Sans Pro" w:hAnsi="Source Sans Pro" w:cstheme="minorHAnsi"/>
        </w:rPr>
        <w:t>In our opinion, proper books of account</w:t>
      </w:r>
      <w:r w:rsidR="0077051A">
        <w:rPr>
          <w:rFonts w:ascii="Source Sans Pro" w:hAnsi="Source Sans Pro" w:cstheme="minorHAnsi"/>
        </w:rPr>
        <w:t>s</w:t>
      </w:r>
      <w:r w:rsidRPr="009C5C6A">
        <w:rPr>
          <w:rFonts w:ascii="Source Sans Pro" w:hAnsi="Source Sans Pro" w:cstheme="minorHAnsi"/>
        </w:rPr>
        <w:t xml:space="preserve"> as required by law have been kept by the Company so far as it appears from our examination of those </w:t>
      </w:r>
      <w:r w:rsidRPr="0077051A">
        <w:rPr>
          <w:rFonts w:ascii="Source Sans Pro" w:hAnsi="Source Sans Pro" w:cstheme="minorHAnsi"/>
        </w:rPr>
        <w:t>books</w:t>
      </w:r>
      <w:r w:rsidRPr="0077051A" w:rsidR="0077051A">
        <w:rPr>
          <w:rFonts w:ascii="Source Sans Pro" w:hAnsi="Source Sans Pro"/>
          <w:color w:val="00B0F0"/>
        </w:rPr>
        <w:t xml:space="preserve"> except for the matters stated in paragraph </w:t>
      </w:r>
      <w:r w:rsidR="00A4750D">
        <w:rPr>
          <w:rFonts w:ascii="Source Sans Pro" w:hAnsi="Source Sans Pro"/>
          <w:color w:val="00B0F0"/>
        </w:rPr>
        <w:t>[…]</w:t>
      </w:r>
      <w:r w:rsidRPr="0077051A" w:rsidR="0077051A">
        <w:rPr>
          <w:rFonts w:ascii="Source Sans Pro" w:hAnsi="Source Sans Pro"/>
          <w:color w:val="00B0F0"/>
        </w:rPr>
        <w:t xml:space="preserve"> below on reporting under Rule 11(g) of the Companies (Audit and Auditors) Rules, 2014 (as amended).</w:t>
      </w:r>
    </w:p>
    <w:p w:rsidRPr="009C5C6A" w:rsidR="00C948FE" w:rsidP="00C948FE" w:rsidRDefault="00C948FE" w14:paraId="7CD11980" w14:textId="4FC4FC14">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 xml:space="preserve">As the Company's financial accounting system is centralised and maintained at the Registered </w:t>
      </w:r>
      <w:r w:rsidRPr="009C5C6A" w:rsidR="00636E25">
        <w:rPr>
          <w:rFonts w:ascii="Source Sans Pro" w:hAnsi="Source Sans Pro" w:cstheme="minorHAnsi"/>
        </w:rPr>
        <w:t xml:space="preserve">and </w:t>
      </w:r>
      <w:r w:rsidRPr="009C5C6A">
        <w:rPr>
          <w:rFonts w:ascii="Source Sans Pro" w:hAnsi="Source Sans Pro" w:cstheme="minorHAnsi"/>
        </w:rPr>
        <w:t>Head Office, no returns for the purposes of our audit are prepared at the branches and other offices of the Company.</w:t>
      </w:r>
    </w:p>
    <w:p w:rsidRPr="009C5C6A" w:rsidR="00C948FE" w:rsidP="00C948FE" w:rsidRDefault="00C948FE" w14:paraId="7CCC37A3" w14:textId="043C41C7">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 xml:space="preserve">The </w:t>
      </w:r>
      <w:r w:rsidRPr="009C5C6A">
        <w:rPr>
          <w:rFonts w:ascii="Source Sans Pro" w:hAnsi="Source Sans Pro" w:cstheme="minorHAnsi"/>
          <w:color w:val="000000" w:themeColor="text1"/>
        </w:rPr>
        <w:t>Balance Sheet, the Revenue Account, the Profit and Loss Account, and the Receipts and Payments Account</w:t>
      </w:r>
      <w:r w:rsidRPr="009C5C6A">
        <w:rPr>
          <w:rFonts w:ascii="Source Sans Pro" w:hAnsi="Source Sans Pro" w:cstheme="minorHAnsi"/>
        </w:rPr>
        <w:t xml:space="preserve"> dealt with by this Report are in agreement with the books of account.</w:t>
      </w:r>
    </w:p>
    <w:p w:rsidR="005F7213" w:rsidP="00C948FE" w:rsidRDefault="00C948FE" w14:paraId="5BE89A0E" w14:textId="77777777">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rPr>
        <w:lastRenderedPageBreak/>
        <w:t>In our opinion, the aforesaid standalone financial statements comply with the Accounting Standards specified under Section 133 of the Act</w:t>
      </w:r>
      <w:r w:rsidRPr="009C5C6A" w:rsidR="004E23B6">
        <w:rPr>
          <w:rFonts w:ascii="Source Sans Pro" w:hAnsi="Source Sans Pro"/>
        </w:rPr>
        <w:t xml:space="preserve"> </w:t>
      </w:r>
      <w:r w:rsidRPr="009C5C6A" w:rsidR="00636E25">
        <w:rPr>
          <w:rFonts w:ascii="Source Sans Pro" w:hAnsi="Source Sans Pro"/>
          <w:color w:val="000000" w:themeColor="text1"/>
        </w:rPr>
        <w:t>, read with the relevant rules thereunder</w:t>
      </w:r>
      <w:r w:rsidRPr="009C5C6A">
        <w:rPr>
          <w:rFonts w:ascii="Source Sans Pro" w:hAnsi="Source Sans Pro"/>
        </w:rPr>
        <w:t>, to the extent not inconsistent with the accounting principles prescribed in the IRDA Financial Statements Regulations, the Insurance Act, the IRDA Act and circulars/orders/directions issued by the IRDAI in this regard.</w:t>
      </w:r>
      <w:r w:rsidRPr="009C5C6A" w:rsidDel="00452A73">
        <w:rPr>
          <w:rFonts w:ascii="Source Sans Pro" w:hAnsi="Source Sans Pro" w:cstheme="minorHAnsi"/>
        </w:rPr>
        <w:t xml:space="preserve"> </w:t>
      </w:r>
    </w:p>
    <w:p w:rsidR="00C948FE" w:rsidP="00C948FE" w:rsidRDefault="00C948FE" w14:paraId="61FC711F" w14:textId="4D67B0A2">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 xml:space="preserve">On the basis of the written representations received from the directors as on </w:t>
      </w:r>
      <w:r w:rsidRPr="00F465BE" w:rsidR="00DC356C">
        <w:rPr>
          <w:rFonts w:ascii="Source Sans Pro" w:hAnsi="Source Sans Pro"/>
          <w:color w:val="00B0F0"/>
        </w:rPr>
        <w:t xml:space="preserve">[XX] [Month] 20XX </w:t>
      </w:r>
      <w:r w:rsidRPr="009C5C6A">
        <w:rPr>
          <w:rFonts w:ascii="Source Sans Pro" w:hAnsi="Source Sans Pro" w:cstheme="minorHAnsi"/>
        </w:rPr>
        <w:t xml:space="preserve">taken on record by the Board of Directors, none of the directors is disqualified as on </w:t>
      </w:r>
      <w:r w:rsidR="00952A10">
        <w:rPr>
          <w:rFonts w:ascii="Source Sans Pro" w:hAnsi="Source Sans Pro" w:cstheme="minorHAnsi"/>
        </w:rPr>
        <w:t>31 March 2026</w:t>
      </w:r>
      <w:r w:rsidRPr="009C5C6A">
        <w:rPr>
          <w:rFonts w:ascii="Source Sans Pro" w:hAnsi="Source Sans Pro" w:cstheme="minorHAnsi"/>
        </w:rPr>
        <w:t xml:space="preserve"> from being appointed as a director in terms of Section 164(2) of the Act.</w:t>
      </w:r>
    </w:p>
    <w:p w:rsidRPr="009C5C6A" w:rsidR="0077051A" w:rsidP="00C948FE" w:rsidRDefault="0077051A" w14:paraId="37A09F7E" w14:textId="7CB58BCD">
      <w:pPr>
        <w:pStyle w:val="ListParagraph"/>
        <w:numPr>
          <w:ilvl w:val="1"/>
          <w:numId w:val="19"/>
        </w:numPr>
        <w:spacing w:after="120"/>
        <w:ind w:left="992" w:hanging="567"/>
        <w:contextualSpacing w:val="0"/>
        <w:jc w:val="both"/>
        <w:rPr>
          <w:rFonts w:ascii="Source Sans Pro" w:hAnsi="Source Sans Pro" w:cstheme="minorHAnsi"/>
        </w:rPr>
      </w:pPr>
      <w:r w:rsidRPr="00091517">
        <w:rPr>
          <w:rFonts w:ascii="Source Sans Pro" w:hAnsi="Source Sans Pro"/>
          <w:color w:val="00B0F0"/>
        </w:rPr>
        <w:t xml:space="preserve">The modification relating to the maintenance of accounts and other matters connected therewith are as stated in the paragraph </w:t>
      </w:r>
      <w:r>
        <w:rPr>
          <w:rFonts w:ascii="Source Sans Pro" w:hAnsi="Source Sans Pro"/>
          <w:color w:val="00B0F0"/>
        </w:rPr>
        <w:t>[…]</w:t>
      </w:r>
      <w:r w:rsidRPr="00091517">
        <w:rPr>
          <w:rFonts w:ascii="Source Sans Pro" w:hAnsi="Source Sans Pro"/>
          <w:color w:val="00B0F0"/>
        </w:rPr>
        <w:t xml:space="preserve"> above on reporting under Section 143(3)(b) and paragraph </w:t>
      </w:r>
      <w:r>
        <w:rPr>
          <w:rFonts w:ascii="Source Sans Pro" w:hAnsi="Source Sans Pro"/>
          <w:color w:val="00B0F0"/>
        </w:rPr>
        <w:t>[…]</w:t>
      </w:r>
      <w:r w:rsidRPr="00091517">
        <w:rPr>
          <w:rFonts w:ascii="Source Sans Pro" w:hAnsi="Source Sans Pro"/>
          <w:color w:val="00B0F0"/>
        </w:rPr>
        <w:t xml:space="preserve"> below on reporting under Rule 11(g) of the Companies (Audit and Auditors) Rules, 2014</w:t>
      </w:r>
      <w:r>
        <w:rPr>
          <w:rFonts w:ascii="Source Sans Pro" w:hAnsi="Source Sans Pro"/>
          <w:color w:val="00B0F0"/>
        </w:rPr>
        <w:t xml:space="preserve"> </w:t>
      </w:r>
      <w:r w:rsidRPr="0077051A">
        <w:rPr>
          <w:rFonts w:ascii="Source Sans Pro" w:hAnsi="Source Sans Pro"/>
          <w:color w:val="00B0F0"/>
        </w:rPr>
        <w:t>(as amended).</w:t>
      </w:r>
    </w:p>
    <w:p w:rsidRPr="009C5C6A" w:rsidR="00C948FE" w:rsidP="00C948FE" w:rsidRDefault="00C948FE" w14:paraId="2C8C988A" w14:textId="77777777">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In our opinion and to the best of our information and according to the explanations given to us, investments have been valued in accordance with the provisions of the Insurance Act, the IRDAI Financial Statements Regulations and/or orders/directions issued by the IRDAI in this regard.</w:t>
      </w:r>
    </w:p>
    <w:p w:rsidRPr="009C5C6A" w:rsidR="00C948FE" w:rsidP="00C948FE" w:rsidRDefault="00C948FE" w14:paraId="28C4BDA7" w14:textId="77777777">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 xml:space="preserve">With respect to the adequacy of the internal financial controls with reference to Standalone Financial Statements of the Company and the operating effectiveness of such controls, refer to our separate Report in ‘Annexure A’ to this report. </w:t>
      </w:r>
    </w:p>
    <w:p w:rsidRPr="009C5C6A" w:rsidR="00C948FE" w:rsidP="00C948FE" w:rsidRDefault="00C948FE" w14:paraId="1EAC6924" w14:textId="4D894DFD">
      <w:pPr>
        <w:pStyle w:val="ListParagraph"/>
        <w:numPr>
          <w:ilvl w:val="1"/>
          <w:numId w:val="19"/>
        </w:numPr>
        <w:spacing w:after="120"/>
        <w:ind w:left="992" w:hanging="567"/>
        <w:contextualSpacing w:val="0"/>
        <w:jc w:val="both"/>
        <w:rPr>
          <w:rFonts w:ascii="Source Sans Pro" w:hAnsi="Source Sans Pro" w:cstheme="minorHAnsi"/>
        </w:rPr>
      </w:pPr>
      <w:r w:rsidRPr="009C5C6A">
        <w:rPr>
          <w:rFonts w:ascii="Source Sans Pro" w:hAnsi="Source Sans Pro" w:cstheme="minorHAnsi"/>
        </w:rPr>
        <w:t>With respect to the matter to be included in the auditor’s report under section 197(16) of the Act, in our opinion and according to the information and explanations given to us, the remuneration paid by the Company to its directors during the year is in accordance with the provisions of section 197 of the Act read with section 34A of the Insurance Act. The remuneration paid to any director is not in excess of the limit laid down under section 197 of the Act read with section 34A of the Insurance Act.</w:t>
      </w:r>
    </w:p>
    <w:p w:rsidRPr="009C5C6A" w:rsidR="00C948FE" w:rsidP="00C948FE" w:rsidRDefault="00C948FE" w14:paraId="574A49C4" w14:textId="0D513E03">
      <w:pPr>
        <w:pStyle w:val="ListParagraph"/>
        <w:numPr>
          <w:ilvl w:val="0"/>
          <w:numId w:val="17"/>
        </w:numPr>
        <w:spacing w:after="120"/>
        <w:ind w:left="425" w:hanging="425"/>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636E25">
        <w:rPr>
          <w:rFonts w:ascii="Source Sans Pro" w:hAnsi="Source Sans Pro"/>
          <w:color w:val="000000" w:themeColor="text1"/>
        </w:rPr>
        <w:t xml:space="preserve"> (as amended)</w:t>
      </w:r>
      <w:r w:rsidRPr="009C5C6A">
        <w:rPr>
          <w:rFonts w:ascii="Source Sans Pro" w:hAnsi="Source Sans Pro"/>
          <w:color w:val="000000" w:themeColor="text1"/>
        </w:rPr>
        <w:t>, in our opinion and to the best of our information and according to the explanations given to us:</w:t>
      </w:r>
    </w:p>
    <w:p w:rsidRPr="009C5C6A" w:rsidR="00C948FE" w:rsidP="00C948FE" w:rsidRDefault="00C948FE" w14:paraId="57FCCD2D" w14:textId="74A4D1F3">
      <w:pPr>
        <w:pStyle w:val="ListParagraph"/>
        <w:numPr>
          <w:ilvl w:val="1"/>
          <w:numId w:val="16"/>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rPr>
        <w:t xml:space="preserve">The Company has disclosed the impact of pending litigations as at </w:t>
      </w:r>
      <w:r w:rsidR="00952A10">
        <w:rPr>
          <w:rFonts w:ascii="Source Sans Pro" w:hAnsi="Source Sans Pro" w:cstheme="minorHAnsi"/>
        </w:rPr>
        <w:t>31 March 2026</w:t>
      </w:r>
      <w:r w:rsidRPr="009C5C6A">
        <w:rPr>
          <w:rFonts w:ascii="Source Sans Pro" w:hAnsi="Source Sans Pro" w:cstheme="minorHAnsi"/>
        </w:rPr>
        <w:t xml:space="preserve"> on its financial position in its Standalone Financial Statements – Refer Note [</w:t>
      </w:r>
      <w:r w:rsidRPr="009C5C6A">
        <w:rPr>
          <w:rFonts w:ascii="Source Sans Pro" w:hAnsi="Source Sans Pro" w:cstheme="minorHAnsi"/>
          <w:color w:val="00B0F0"/>
        </w:rPr>
        <w:t>…</w:t>
      </w:r>
      <w:r w:rsidRPr="009C5C6A">
        <w:rPr>
          <w:rFonts w:ascii="Source Sans Pro" w:hAnsi="Source Sans Pro" w:cstheme="minorHAnsi"/>
        </w:rPr>
        <w:t xml:space="preserve">] to the Standalone Financial </w:t>
      </w:r>
      <w:r w:rsidRPr="009C5C6A">
        <w:rPr>
          <w:rFonts w:ascii="Source Sans Pro" w:hAnsi="Source Sans Pro" w:cstheme="minorHAnsi"/>
          <w:color w:val="000000" w:themeColor="text1"/>
        </w:rPr>
        <w:t>Statements; [</w:t>
      </w:r>
      <w:r w:rsidRPr="009C5C6A">
        <w:rPr>
          <w:rFonts w:ascii="Source Sans Pro" w:hAnsi="Source Sans Pro" w:cstheme="minorHAnsi"/>
          <w:color w:val="00B0F0"/>
        </w:rPr>
        <w:t>or the Company does not have any pending litigations which would impact its financial position</w:t>
      </w:r>
      <w:r w:rsidRPr="009C5C6A">
        <w:rPr>
          <w:rFonts w:ascii="Source Sans Pro" w:hAnsi="Source Sans Pro" w:cstheme="minorHAnsi"/>
          <w:color w:val="000000" w:themeColor="text1"/>
        </w:rPr>
        <w:t>]</w:t>
      </w:r>
    </w:p>
    <w:p w:rsidRPr="009C5C6A" w:rsidR="00C948FE" w:rsidP="00C948FE" w:rsidRDefault="00C948FE" w14:paraId="1858238C" w14:textId="77777777">
      <w:pPr>
        <w:pStyle w:val="ListParagraph"/>
        <w:numPr>
          <w:ilvl w:val="1"/>
          <w:numId w:val="16"/>
        </w:numPr>
        <w:spacing w:after="120"/>
        <w:ind w:left="992" w:hanging="567"/>
        <w:contextualSpacing w:val="0"/>
        <w:jc w:val="both"/>
        <w:rPr>
          <w:rFonts w:ascii="Source Sans Pro" w:hAnsi="Source Sans Pro" w:cstheme="minorHAnsi"/>
          <w:color w:val="000000" w:themeColor="text1"/>
        </w:rPr>
      </w:pPr>
      <w:r w:rsidRPr="009C5C6A">
        <w:rPr>
          <w:rFonts w:ascii="Source Sans Pro" w:hAnsi="Source Sans Pro" w:cstheme="minorHAnsi"/>
        </w:rPr>
        <w:t>The Company has made provision, as required under the applicable law or accounting standards, for material foreseeable losses, if any, on long-term contracts including derivative contracts – Refer Note [</w:t>
      </w:r>
      <w:r w:rsidRPr="009C5C6A">
        <w:rPr>
          <w:rFonts w:ascii="Source Sans Pro" w:hAnsi="Source Sans Pro" w:cstheme="minorHAnsi"/>
          <w:color w:val="00B0F0"/>
        </w:rPr>
        <w:t>…</w:t>
      </w:r>
      <w:r w:rsidRPr="009C5C6A">
        <w:rPr>
          <w:rFonts w:ascii="Source Sans Pro" w:hAnsi="Source Sans Pro" w:cstheme="minorHAnsi"/>
        </w:rPr>
        <w:t>] to the Standalone Financial Statements;</w:t>
      </w:r>
      <w:r w:rsidRPr="009C5C6A">
        <w:rPr>
          <w:rFonts w:ascii="Source Sans Pro" w:hAnsi="Source Sans Pro" w:cstheme="minorHAnsi"/>
          <w:color w:val="000000" w:themeColor="text1"/>
        </w:rPr>
        <w:t xml:space="preserve"> [</w:t>
      </w:r>
      <w:r w:rsidRPr="009C5C6A">
        <w:rPr>
          <w:rFonts w:ascii="Source Sans Pro" w:hAnsi="Source Sans Pro" w:cstheme="minorHAnsi"/>
          <w:color w:val="00B0F0"/>
        </w:rPr>
        <w:t>or the Company did not have any long-term contracts including derivative contracts for which there were any material foreseeable losses.</w:t>
      </w:r>
      <w:r w:rsidRPr="009C5C6A">
        <w:rPr>
          <w:rFonts w:ascii="Source Sans Pro" w:hAnsi="Source Sans Pro" w:cstheme="minorHAnsi"/>
          <w:color w:val="000000" w:themeColor="text1"/>
        </w:rPr>
        <w:t>]</w:t>
      </w:r>
    </w:p>
    <w:p w:rsidRPr="009C5C6A" w:rsidR="00C948FE" w:rsidP="00C948FE" w:rsidRDefault="00C948FE" w14:paraId="0858706E" w14:textId="77777777">
      <w:pPr>
        <w:pStyle w:val="ListParagraph"/>
        <w:numPr>
          <w:ilvl w:val="1"/>
          <w:numId w:val="16"/>
        </w:numPr>
        <w:spacing w:after="120"/>
        <w:ind w:left="992" w:hanging="567"/>
        <w:contextualSpacing w:val="0"/>
        <w:jc w:val="both"/>
        <w:rPr>
          <w:rFonts w:ascii="Source Sans Pro" w:hAnsi="Source Sans Pro" w:cstheme="minorHAnsi"/>
          <w:color w:val="00B0F0"/>
        </w:rPr>
      </w:pPr>
      <w:r w:rsidRPr="009C5C6A">
        <w:rPr>
          <w:rFonts w:ascii="Source Sans Pro" w:hAnsi="Source Sans Pro" w:cstheme="minorHAnsi"/>
          <w:color w:val="000000" w:themeColor="text1"/>
        </w:rPr>
        <w:t>There has been no delay in transferring amounts, required to be transferred, to the Investor Education and Protection Fund by the Company. [</w:t>
      </w:r>
      <w:r w:rsidRPr="009C5C6A">
        <w:rPr>
          <w:rFonts w:ascii="Source Sans Pro" w:hAnsi="Source Sans Pro" w:cstheme="minorHAnsi"/>
          <w:color w:val="00B0F0"/>
        </w:rPr>
        <w:t>or, Following are the instances of delay in transferring amounts, required to be transferred, to the Investor Education and Protection Fund by the Company</w:t>
      </w:r>
      <w:r w:rsidRPr="009C5C6A">
        <w:rPr>
          <w:rFonts w:ascii="Source Sans Pro" w:hAnsi="Source Sans Pro" w:cstheme="minorHAnsi"/>
          <w:color w:val="000000" w:themeColor="text1"/>
        </w:rPr>
        <w:t>]</w:t>
      </w:r>
      <w:r w:rsidRPr="009C5C6A">
        <w:rPr>
          <w:rFonts w:ascii="Source Sans Pro" w:hAnsi="Source Sans Pro" w:cstheme="minorHAnsi"/>
          <w:color w:val="00B0F0"/>
        </w:rPr>
        <w:t xml:space="preserve"> </w:t>
      </w:r>
      <w:r w:rsidRPr="009C5C6A">
        <w:rPr>
          <w:rFonts w:ascii="Source Sans Pro" w:hAnsi="Source Sans Pro" w:cstheme="minorHAnsi"/>
          <w:color w:val="000000" w:themeColor="text1"/>
        </w:rPr>
        <w:t>[</w:t>
      </w:r>
      <w:r w:rsidRPr="009C5C6A">
        <w:rPr>
          <w:rFonts w:ascii="Source Sans Pro" w:hAnsi="Source Sans Pro" w:cstheme="minorHAnsi"/>
          <w:color w:val="00B0F0"/>
        </w:rPr>
        <w:t>or, There were no amounts which were required to be transferred to the Investor Education and Protection Fund by the Company</w:t>
      </w:r>
      <w:r w:rsidRPr="009C5C6A">
        <w:rPr>
          <w:rFonts w:ascii="Source Sans Pro" w:hAnsi="Source Sans Pro" w:cstheme="minorHAnsi"/>
          <w:color w:val="000000" w:themeColor="text1"/>
        </w:rPr>
        <w:t>]</w:t>
      </w:r>
      <w:r w:rsidRPr="009C5C6A">
        <w:rPr>
          <w:rFonts w:ascii="Source Sans Pro" w:hAnsi="Source Sans Pro" w:cstheme="minorHAnsi"/>
          <w:color w:val="00B0F0"/>
        </w:rPr>
        <w:t>.</w:t>
      </w:r>
    </w:p>
    <w:p w:rsidRPr="009C5C6A" w:rsidR="00C948FE" w:rsidP="00C948FE" w:rsidRDefault="00C948FE" w14:paraId="43DDD2C6" w14:textId="77777777">
      <w:pPr>
        <w:pStyle w:val="ListParagraph"/>
        <w:numPr>
          <w:ilvl w:val="1"/>
          <w:numId w:val="16"/>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The Management has represented, to best of their knowledge and belief, that no funds have been advanced or loaned or invested (either from borrowed funds or share premium or any other sources or kind of funds) by the Company to or in any other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(‘Intermediaries’), with the understanding, whether recorded in writing or otherwise, that the Intermediary shall, whether, directly or indirectly lend or invest in other persons or entities identified </w:t>
      </w:r>
      <w:r w:rsidRPr="009C5C6A">
        <w:rPr>
          <w:rFonts w:ascii="Source Sans Pro" w:hAnsi="Source Sans Pro" w:cstheme="minorHAnsi"/>
        </w:rPr>
        <w:lastRenderedPageBreak/>
        <w:t xml:space="preserve">in any manner whatsoever by or on behalf of the Company (‘Ultimate Beneficiaries’) or provide any guarantee, security or the like on behalf of the Ultimate Beneficiaries. </w:t>
      </w:r>
    </w:p>
    <w:p w:rsidRPr="009C5C6A" w:rsidR="00C948FE" w:rsidP="00C948FE" w:rsidRDefault="00C948FE" w14:paraId="2FEBD337" w14:textId="77777777">
      <w:pPr>
        <w:pStyle w:val="ListParagraph"/>
        <w:numPr>
          <w:ilvl w:val="1"/>
          <w:numId w:val="16"/>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The Management has represented, to best of their knowledge and belief, that no funds have been received by the Company from any person(s) or entity(</w:t>
      </w:r>
      <w:proofErr w:type="spellStart"/>
      <w:r w:rsidRPr="009C5C6A">
        <w:rPr>
          <w:rFonts w:ascii="Source Sans Pro" w:hAnsi="Source Sans Pro" w:cstheme="minorHAnsi"/>
        </w:rPr>
        <w:t>ies</w:t>
      </w:r>
      <w:proofErr w:type="spellEnd"/>
      <w:r w:rsidRPr="009C5C6A">
        <w:rPr>
          <w:rFonts w:ascii="Source Sans Pro" w:hAnsi="Source Sans Pro" w:cstheme="minorHAnsi"/>
        </w:rPr>
        <w:t xml:space="preserve">), including foreign entities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C948FE" w:rsidP="00C948FE" w:rsidRDefault="00C948FE" w14:paraId="0512C44B" w14:textId="4EBF88F6">
      <w:pPr>
        <w:pStyle w:val="ListParagraph"/>
        <w:numPr>
          <w:ilvl w:val="1"/>
          <w:numId w:val="16"/>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 xml:space="preserve">Based on such audit procedures, that have been considered reasonable and appropriate in the 2circumstances, nothing has come to our notice that has caused us to believe that the representation under </w:t>
      </w:r>
      <w:r w:rsidR="00E961A2">
        <w:rPr>
          <w:rFonts w:ascii="Source Sans Pro" w:hAnsi="Source Sans Pro" w:cstheme="minorHAnsi"/>
        </w:rPr>
        <w:t>sub clause (</w:t>
      </w:r>
      <w:proofErr w:type="spellStart"/>
      <w:r w:rsidR="00E961A2">
        <w:rPr>
          <w:rFonts w:ascii="Source Sans Pro" w:hAnsi="Source Sans Pro" w:cstheme="minorHAnsi"/>
        </w:rPr>
        <w:t>i</w:t>
      </w:r>
      <w:proofErr w:type="spellEnd"/>
      <w:r w:rsidR="00E961A2">
        <w:rPr>
          <w:rFonts w:ascii="Source Sans Pro" w:hAnsi="Source Sans Pro" w:cstheme="minorHAnsi"/>
        </w:rPr>
        <w:t>) and (ii) of Rule 11(e),</w:t>
      </w:r>
      <w:r w:rsidRPr="009C5C6A" w:rsidR="00E961A2">
        <w:rPr>
          <w:rFonts w:ascii="Source Sans Pro" w:hAnsi="Source Sans Pro" w:cstheme="minorHAnsi"/>
        </w:rPr>
        <w:t xml:space="preserve"> </w:t>
      </w:r>
      <w:r w:rsidR="00E961A2">
        <w:rPr>
          <w:rFonts w:ascii="Source Sans Pro" w:hAnsi="Source Sans Pro" w:cstheme="minorHAnsi"/>
        </w:rPr>
        <w:t xml:space="preserve">as provided under </w:t>
      </w:r>
      <w:r w:rsidRPr="009C5C6A" w:rsidR="00E961A2">
        <w:rPr>
          <w:rFonts w:ascii="Source Sans Pro" w:hAnsi="Source Sans Pro" w:cstheme="minorHAnsi"/>
        </w:rPr>
        <w:t>para [ ] and [ ]</w:t>
      </w:r>
      <w:r w:rsidR="00E961A2">
        <w:rPr>
          <w:rFonts w:ascii="Source Sans Pro" w:hAnsi="Source Sans Pro" w:cstheme="minorHAnsi"/>
        </w:rPr>
        <w:t xml:space="preserve"> above,</w:t>
      </w:r>
      <w:r w:rsidRPr="009C5C6A" w:rsidR="00E961A2">
        <w:rPr>
          <w:rFonts w:ascii="Source Sans Pro" w:hAnsi="Source Sans Pro" w:cstheme="minorHAnsi"/>
        </w:rPr>
        <w:t xml:space="preserve"> </w:t>
      </w:r>
      <w:r w:rsidRPr="009C5C6A">
        <w:rPr>
          <w:rFonts w:ascii="Source Sans Pro" w:hAnsi="Source Sans Pro" w:cstheme="minorHAnsi"/>
        </w:rPr>
        <w:t>contain any material misstatement.</w:t>
      </w:r>
    </w:p>
    <w:p w:rsidRPr="009C5C6A" w:rsidR="00C03D72" w:rsidP="00FB3BE6" w:rsidRDefault="00636E25" w14:paraId="7304EFFA" w14:textId="54A7C1B2">
      <w:pPr>
        <w:pStyle w:val="ListParagraph"/>
        <w:numPr>
          <w:ilvl w:val="1"/>
          <w:numId w:val="16"/>
        </w:numPr>
        <w:spacing w:after="120"/>
        <w:ind w:left="992" w:hanging="567"/>
        <w:contextualSpacing w:val="0"/>
        <w:jc w:val="both"/>
        <w:rPr>
          <w:rFonts w:ascii="Source Sans Pro" w:hAnsi="Source Sans Pro" w:cstheme="minorHAnsi"/>
          <w:color w:val="00B0F0"/>
        </w:rPr>
      </w:pPr>
      <w:r w:rsidRPr="009C5C6A">
        <w:rPr>
          <w:rFonts w:ascii="Source Sans Pro" w:hAnsi="Source Sans Pro" w:cstheme="minorHAnsi"/>
          <w:color w:val="00B0F0"/>
        </w:rPr>
        <w:t>[</w:t>
      </w:r>
      <w:r w:rsidRPr="009C5C6A" w:rsidR="00C948FE">
        <w:rPr>
          <w:rFonts w:ascii="Source Sans Pro" w:hAnsi="Source Sans Pro" w:cstheme="minorHAnsi"/>
          <w:color w:val="00B0F0"/>
        </w:rPr>
        <w:t xml:space="preserve">In our opinion and according to the information and explanations given to us, </w:t>
      </w:r>
      <w:r w:rsidRPr="009C5C6A" w:rsidR="00C03D72">
        <w:rPr>
          <w:rFonts w:ascii="Source Sans Pro" w:hAnsi="Source Sans Pro" w:cstheme="minorHAnsi"/>
          <w:color w:val="00B0F0"/>
        </w:rPr>
        <w:t>the dividend declared and / or paid during the year by the Company is in compliance with Section 123 of the Act.] OR [In our opinion and according to information and explanation given to us, the Company has not declared or paid dividend during the year, accordingly compliance with section 123 of the Act by the Company is not applicable]</w:t>
      </w:r>
    </w:p>
    <w:p w:rsidR="009C5C6A" w:rsidP="0007114E" w:rsidRDefault="00C03D72" w14:paraId="0B33F329" w14:textId="067CB064">
      <w:pPr>
        <w:pStyle w:val="ListParagraph"/>
        <w:numPr>
          <w:ilvl w:val="1"/>
          <w:numId w:val="16"/>
        </w:numPr>
        <w:spacing w:after="120"/>
        <w:ind w:left="993" w:hanging="567"/>
        <w:contextualSpacing w:val="0"/>
        <w:rPr>
          <w:rFonts w:ascii="Source Sans Pro" w:hAnsi="Source Sans Pro"/>
          <w:color w:val="00B0F0"/>
        </w:rPr>
      </w:pPr>
      <w:r w:rsidRPr="00CE19D8">
        <w:rPr>
          <w:rFonts w:ascii="Source Sans Pro" w:hAnsi="Source Sans Pro"/>
          <w:color w:val="00B0F0"/>
        </w:rPr>
        <w:t xml:space="preserve">Based on our examination which included test checks, the company has used an accounting software for maintaining its books of account which has a feature of recording audit trail (edit log) facility </w:t>
      </w:r>
      <w:r w:rsidRPr="000C0F96">
        <w:rPr>
          <w:rFonts w:ascii="Source Sans Pro" w:hAnsi="Source Sans Pro" w:cstheme="minorHAnsi"/>
          <w:color w:val="00B0F0"/>
        </w:rPr>
        <w:t xml:space="preserve">[except in respect of ………. wherein …….], </w:t>
      </w:r>
      <w:r w:rsidRPr="00CE19D8">
        <w:rPr>
          <w:rFonts w:ascii="Source Sans Pro" w:hAnsi="Source Sans Pro"/>
          <w:color w:val="00B0F0"/>
        </w:rPr>
        <w:t>and the same has operated throughout the year for all relevant transactions recorded in the software</w:t>
      </w:r>
      <w:r w:rsidRPr="000C0F96">
        <w:rPr>
          <w:rFonts w:ascii="Source Sans Pro" w:hAnsi="Source Sans Pro"/>
          <w:color w:val="00B0F0"/>
        </w:rPr>
        <w:t xml:space="preserve"> [except for….. wherein……]</w:t>
      </w:r>
      <w:r w:rsidRPr="00CE19D8">
        <w:rPr>
          <w:rFonts w:ascii="Source Sans Pro" w:hAnsi="Source Sans Pro"/>
          <w:color w:val="00B0F0"/>
        </w:rPr>
        <w:t xml:space="preserve">. Further, during the course of our audit we did not come across any instance of audit trail feature being tampered with. </w:t>
      </w:r>
      <w:r w:rsidRPr="009C5C6A">
        <w:rPr>
          <w:rFonts w:ascii="Source Sans Pro" w:hAnsi="Source Sans Pro"/>
          <w:color w:val="00B0F0"/>
        </w:rPr>
        <w:t>[</w:t>
      </w:r>
      <w:r w:rsidRPr="009C5C6A">
        <w:rPr>
          <w:rFonts w:ascii="Source Sans Pro" w:hAnsi="Source Sans Pro"/>
          <w:color w:val="4EA72E" w:themeColor="accent6"/>
        </w:rPr>
        <w:t>The modified reporting will depend on case-to-case basis.</w:t>
      </w:r>
      <w:r w:rsidRPr="009C5C6A">
        <w:rPr>
          <w:rFonts w:ascii="Source Sans Pro" w:hAnsi="Source Sans Pro"/>
          <w:color w:val="00B0F0"/>
        </w:rPr>
        <w:t>]</w:t>
      </w:r>
      <w:r w:rsidR="00C75427">
        <w:rPr>
          <w:rFonts w:ascii="Source Sans Pro" w:hAnsi="Source Sans Pro"/>
          <w:color w:val="00B0F0"/>
        </w:rPr>
        <w:br/>
      </w:r>
      <w:r w:rsidR="00C75427">
        <w:rPr>
          <w:rFonts w:ascii="Source Sans Pro" w:hAnsi="Source Sans Pro"/>
          <w:color w:val="00B0F0"/>
        </w:rPr>
        <w:br/>
      </w:r>
      <w:r w:rsidRPr="0007114E" w:rsidR="00C75427">
        <w:rPr>
          <w:rFonts w:ascii="Source Sans Pro" w:hAnsi="Source Sans Pro"/>
        </w:rPr>
        <w:t>Additionally, the audit trail has been preserved by the Company as per the statutory requirements for record retention. </w:t>
      </w:r>
      <w:r w:rsidRPr="00C75427" w:rsidR="00C75427">
        <w:rPr>
          <w:rFonts w:ascii="Source Sans Pro" w:hAnsi="Source Sans Pro"/>
          <w:color w:val="00B0F0"/>
        </w:rPr>
        <w:t>[or, the audit trail has not been preserved by the company as per the statutory requirements for record retention.]</w:t>
      </w:r>
    </w:p>
    <w:p w:rsidRPr="009C5C6A" w:rsidR="00C948FE" w:rsidP="00FB3BE6" w:rsidRDefault="00C948FE" w14:paraId="0DDE5CAE" w14:textId="77777777">
      <w:pPr>
        <w:spacing w:after="120"/>
        <w:jc w:val="both"/>
        <w:rPr>
          <w:rStyle w:val="Strong"/>
          <w:rFonts w:ascii="Source Sans Pro" w:hAnsi="Source Sans Pro" w:cstheme="minorHAnsi"/>
          <w:b w:val="0"/>
          <w:bCs w:val="0"/>
        </w:rPr>
      </w:pPr>
    </w:p>
    <w:p w:rsidRPr="009C5C6A" w:rsidR="00C948FE" w:rsidP="00C948FE" w:rsidRDefault="00C948FE" w14:paraId="6AAAA10A" w14:textId="77777777">
      <w:pPr>
        <w:pStyle w:val="NoSpacing"/>
        <w:jc w:val="both"/>
        <w:rPr>
          <w:rFonts w:ascii="Source Sans Pro" w:hAnsi="Source Sans Pro" w:cs="Calibri"/>
          <w:bCs/>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C948FE" w:rsidP="00C948FE" w:rsidRDefault="00C948FE" w14:paraId="2EF0E9A8"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C948FE" w:rsidP="00C948FE" w:rsidRDefault="00C948FE" w14:paraId="6B409085"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C948FE" w:rsidP="00C948FE" w:rsidRDefault="00C948FE" w14:paraId="26F52AE4"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p w:rsidRPr="009C5C6A" w:rsidR="00C948FE" w:rsidP="00C948FE" w:rsidRDefault="00C948FE" w14:paraId="267B27F3" w14:textId="77777777">
      <w:pPr>
        <w:pStyle w:val="NoSpacing"/>
        <w:jc w:val="both"/>
        <w:rPr>
          <w:rFonts w:ascii="Source Sans Pro" w:hAnsi="Source Sans Pro" w:cs="Calibri"/>
        </w:rPr>
      </w:pPr>
    </w:p>
    <w:p w:rsidRPr="009C5C6A" w:rsidR="00C948FE" w:rsidP="00C948FE" w:rsidRDefault="00C948FE" w14:paraId="5DB854D1" w14:textId="77777777">
      <w:pPr>
        <w:pStyle w:val="NoSpacing"/>
        <w:jc w:val="both"/>
        <w:rPr>
          <w:rFonts w:ascii="Source Sans Pro" w:hAnsi="Source Sans Pro" w:cs="Calibri"/>
        </w:rPr>
      </w:pPr>
    </w:p>
    <w:p w:rsidRPr="009C5C6A" w:rsidR="00C948FE" w:rsidP="00C948FE" w:rsidRDefault="00C948FE" w14:paraId="039AB0F8" w14:textId="77777777">
      <w:pPr>
        <w:pStyle w:val="NoSpacing"/>
        <w:jc w:val="both"/>
        <w:rPr>
          <w:rFonts w:ascii="Source Sans Pro" w:hAnsi="Source Sans Pro" w:cs="Calibri"/>
        </w:rPr>
      </w:pPr>
    </w:p>
    <w:p w:rsidRPr="009C5C6A" w:rsidR="00C948FE" w:rsidP="00C948FE" w:rsidRDefault="00C948FE" w14:paraId="6083C1CE"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C948FE" w:rsidP="00C948FE" w:rsidRDefault="00C948FE" w14:paraId="39AEE004" w14:textId="77777777">
      <w:pPr>
        <w:pStyle w:val="NoSpacing"/>
        <w:jc w:val="both"/>
        <w:rPr>
          <w:rFonts w:ascii="Source Sans Pro" w:hAnsi="Source Sans Pro" w:cs="Calibri"/>
        </w:rPr>
      </w:pPr>
      <w:r w:rsidRPr="009C5C6A">
        <w:rPr>
          <w:rFonts w:ascii="Source Sans Pro" w:hAnsi="Source Sans Pro" w:cs="Calibri"/>
        </w:rPr>
        <w:t>Partner</w:t>
      </w:r>
    </w:p>
    <w:p w:rsidRPr="009C5C6A" w:rsidR="00C948FE" w:rsidP="00C948FE" w:rsidRDefault="00C948FE" w14:paraId="04D4CDAD"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C948FE" w:rsidP="00C948FE" w:rsidRDefault="00C948FE" w14:paraId="72E31F9D"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C948FE" w:rsidP="00C948FE" w:rsidRDefault="00C948FE" w14:paraId="0E40CBF7" w14:textId="77777777">
      <w:pPr>
        <w:pStyle w:val="NoSpacing"/>
        <w:jc w:val="both"/>
        <w:rPr>
          <w:rFonts w:ascii="Source Sans Pro" w:hAnsi="Source Sans Pro" w:cs="Calibri"/>
        </w:rPr>
      </w:pPr>
    </w:p>
    <w:p w:rsidRPr="009C5C6A" w:rsidR="00C948FE" w:rsidP="00C948FE" w:rsidRDefault="00C948FE" w14:paraId="66DD7501"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C948FE" w:rsidP="00C948FE" w:rsidRDefault="00C948FE" w14:paraId="58DEA2FE"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sectPr w:rsidRPr="009C5C6A" w:rsidR="00C948FE" w:rsidSect="00862C84">
      <w:headerReference w:type="default" r:id="rId8"/>
      <w:footerReference w:type="default" r:id="rId9"/>
      <w:pgSz w:w="11906" w:h="16838" w:orient="portrait"/>
      <w:pgMar w:top="414" w:right="70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C68" w:rsidRDefault="00E30C68" w14:paraId="17B03419" w14:textId="77777777">
      <w:pPr>
        <w:spacing w:after="0" w:line="240" w:lineRule="auto"/>
      </w:pPr>
      <w:r>
        <w:separator/>
      </w:r>
    </w:p>
  </w:endnote>
  <w:endnote w:type="continuationSeparator" w:id="0">
    <w:p w:rsidR="00E30C68" w:rsidRDefault="00E30C68" w14:paraId="5CAD7EA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0AA" w:rsidRDefault="007B65D3" w14:paraId="163B940D" w14:textId="77777777">
    <w:pPr>
      <w:pStyle w:val="Footer"/>
    </w:pPr>
    <w:r>
      <w:rPr>
        <w:lang w:val="en-US"/>
      </w:rPr>
      <w:t>[</w:t>
    </w:r>
    <w:r w:rsidRPr="00B764C1">
      <w:rPr>
        <w:color w:val="00B0F0"/>
      </w:rPr>
      <w:t>Delete</w:t>
    </w:r>
    <w:r>
      <w:rPr>
        <w:lang w:val="en-US"/>
      </w:rPr>
      <w:t xml:space="preserve"> </w:t>
    </w:r>
    <w:r>
      <w:rPr>
        <w:color w:val="00B0F0"/>
      </w:rPr>
      <w:t>before printing</w:t>
    </w: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C68" w:rsidRDefault="00E30C68" w14:paraId="19B4013E" w14:textId="77777777">
      <w:pPr>
        <w:spacing w:after="0" w:line="240" w:lineRule="auto"/>
      </w:pPr>
      <w:r>
        <w:separator/>
      </w:r>
    </w:p>
  </w:footnote>
  <w:footnote w:type="continuationSeparator" w:id="0">
    <w:p w:rsidR="00E30C68" w:rsidRDefault="00E30C68" w14:paraId="0B7056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679BF" w:rsidR="006850AA" w:rsidP="00F01A04" w:rsidRDefault="007B65D3" w14:paraId="31628B5A" w14:textId="77777777">
    <w:pPr>
      <w:pStyle w:val="Header"/>
      <w:spacing w:after="160"/>
      <w:rPr>
        <w:lang w:val="en-US"/>
      </w:rPr>
    </w:pPr>
    <w:r>
      <w:rPr>
        <w:lang w:val="en-US"/>
      </w:rPr>
      <w:t>[</w:t>
    </w:r>
    <w:r w:rsidRPr="00B764C1">
      <w:rPr>
        <w:color w:val="00B0F0"/>
      </w:rPr>
      <w:t>Delete</w:t>
    </w:r>
    <w:r>
      <w:rPr>
        <w:lang w:val="en-US"/>
      </w:rPr>
      <w:t xml:space="preserve"> </w:t>
    </w:r>
    <w:r>
      <w:rPr>
        <w:color w:val="00B0F0"/>
      </w:rPr>
      <w:t>before printing</w:t>
    </w: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8FB"/>
    <w:multiLevelType w:val="multilevel"/>
    <w:tmpl w:val="6F406862"/>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121482"/>
    <w:multiLevelType w:val="multilevel"/>
    <w:tmpl w:val="4C0E3FFE"/>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40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9E7F20"/>
    <w:multiLevelType w:val="multilevel"/>
    <w:tmpl w:val="658C04BA"/>
    <w:lvl w:ilvl="0">
      <w:start w:val="20"/>
      <w:numFmt w:val="decimal"/>
      <w:lvlText w:val="%1"/>
      <w:lvlJc w:val="left"/>
      <w:pPr>
        <w:ind w:left="540" w:hanging="540"/>
      </w:pPr>
      <w:rPr>
        <w:rFonts w:hint="default"/>
      </w:rPr>
    </w:lvl>
    <w:lvl w:ilvl="1">
      <w:start w:val="7"/>
      <w:numFmt w:val="decimal"/>
      <w:lvlText w:val="%1.%2"/>
      <w:lvlJc w:val="left"/>
      <w:pPr>
        <w:ind w:left="1260" w:hanging="54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84022A8"/>
    <w:multiLevelType w:val="multilevel"/>
    <w:tmpl w:val="5AC256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DB50D7"/>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A953ED2"/>
    <w:multiLevelType w:val="multilevel"/>
    <w:tmpl w:val="BA8077CC"/>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AB06C7F"/>
    <w:multiLevelType w:val="multilevel"/>
    <w:tmpl w:val="11DEEB28"/>
    <w:lvl w:ilvl="0">
      <w:start w:val="1"/>
      <w:numFmt w:val="decimal"/>
      <w:lvlText w:val="%1."/>
      <w:lvlJc w:val="left"/>
      <w:pPr>
        <w:ind w:left="360" w:hanging="360"/>
      </w:pPr>
      <w:rPr>
        <w:color w:val="000000" w:themeColor="text1"/>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454FBC"/>
    <w:multiLevelType w:val="multilevel"/>
    <w:tmpl w:val="16669F44"/>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530" w:hanging="720"/>
      </w:pPr>
      <w:rPr>
        <w:rFonts w:hint="default"/>
        <w:color w:val="00B0F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6CA05C6"/>
    <w:multiLevelType w:val="multilevel"/>
    <w:tmpl w:val="A4F60E0C"/>
    <w:lvl w:ilvl="0">
      <w:start w:val="1"/>
      <w:numFmt w:val="decimal"/>
      <w:lvlText w:val="%1."/>
      <w:lvlJc w:val="left"/>
      <w:pPr>
        <w:ind w:left="360" w:hanging="360"/>
      </w:pPr>
      <w:rPr>
        <w:rFonts w:hint="default"/>
      </w:rPr>
    </w:lvl>
    <w:lvl w:ilvl="1">
      <w:start w:val="1"/>
      <w:numFmt w:val="decimal"/>
      <w:lvlText w:val="%19.%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A304E98"/>
    <w:multiLevelType w:val="multilevel"/>
    <w:tmpl w:val="9FFC2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EB94234"/>
    <w:multiLevelType w:val="multilevel"/>
    <w:tmpl w:val="8AB831DA"/>
    <w:lvl w:ilvl="0">
      <w:start w:val="1"/>
      <w:numFmt w:val="decimal"/>
      <w:lvlText w:val="%12."/>
      <w:lvlJc w:val="left"/>
      <w:pPr>
        <w:ind w:left="360" w:hanging="360"/>
      </w:pPr>
      <w:rPr>
        <w:rFonts w:hint="default"/>
      </w:rPr>
    </w:lvl>
    <w:lvl w:ilvl="1">
      <w:start w:val="1"/>
      <w:numFmt w:val="decimal"/>
      <w:lvlText w:val="22.%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D62548"/>
    <w:multiLevelType w:val="multilevel"/>
    <w:tmpl w:val="98C2F812"/>
    <w:lvl w:ilvl="0">
      <w:start w:val="1"/>
      <w:numFmt w:val="decimal"/>
      <w:lvlText w:val="%12."/>
      <w:lvlJc w:val="left"/>
      <w:pPr>
        <w:ind w:left="360" w:hanging="360"/>
      </w:pPr>
      <w:rPr>
        <w:rFonts w:hint="default"/>
      </w:rPr>
    </w:lvl>
    <w:lvl w:ilvl="1">
      <w:start w:val="1"/>
      <w:numFmt w:val="decimal"/>
      <w:lvlText w:val="23.%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BA6076"/>
    <w:multiLevelType w:val="multilevel"/>
    <w:tmpl w:val="DEEEDCC2"/>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3897C86"/>
    <w:multiLevelType w:val="multilevel"/>
    <w:tmpl w:val="04769F6E"/>
    <w:lvl w:ilvl="0">
      <w:start w:val="1"/>
      <w:numFmt w:val="decimal"/>
      <w:lvlText w:val="%1."/>
      <w:lvlJc w:val="left"/>
      <w:pPr>
        <w:ind w:left="360" w:hanging="360"/>
      </w:pPr>
      <w:rPr>
        <w:rFonts w:hint="default"/>
      </w:rPr>
    </w:lvl>
    <w:lvl w:ilvl="1">
      <w:start w:val="1"/>
      <w:numFmt w:val="decimal"/>
      <w:lvlText w:val="25.%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5350EDD"/>
    <w:multiLevelType w:val="multilevel"/>
    <w:tmpl w:val="0409001F"/>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67630F"/>
    <w:multiLevelType w:val="multilevel"/>
    <w:tmpl w:val="5E8471E2"/>
    <w:lvl w:ilvl="0">
      <w:start w:val="2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94" w:hanging="504"/>
      </w:pPr>
      <w:rPr>
        <w:rFonts w:hint="default"/>
        <w:color w:val="00B0F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A9F4A08"/>
    <w:multiLevelType w:val="multilevel"/>
    <w:tmpl w:val="AA0E5D52"/>
    <w:lvl w:ilvl="0">
      <w:start w:val="18"/>
      <w:numFmt w:val="decimal"/>
      <w:lvlText w:val="%1"/>
      <w:lvlJc w:val="left"/>
      <w:pPr>
        <w:ind w:left="390" w:hanging="390"/>
      </w:pPr>
      <w:rPr>
        <w:rFonts w:hint="default"/>
      </w:rPr>
    </w:lvl>
    <w:lvl w:ilvl="1">
      <w:start w:val="1"/>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0160987"/>
    <w:multiLevelType w:val="multilevel"/>
    <w:tmpl w:val="F99C883A"/>
    <w:lvl w:ilvl="0">
      <w:start w:val="22"/>
      <w:numFmt w:val="decimal"/>
      <w:lvlText w:val="%1"/>
      <w:lvlJc w:val="left"/>
      <w:pPr>
        <w:ind w:left="540" w:hanging="540"/>
      </w:pPr>
      <w:rPr>
        <w:rFonts w:hint="default" w:cstheme="minorBidi"/>
      </w:rPr>
    </w:lvl>
    <w:lvl w:ilvl="1">
      <w:start w:val="7"/>
      <w:numFmt w:val="decimal"/>
      <w:lvlText w:val="%1.%2"/>
      <w:lvlJc w:val="left"/>
      <w:pPr>
        <w:ind w:left="1107" w:hanging="540"/>
      </w:pPr>
      <w:rPr>
        <w:rFonts w:hint="default" w:cstheme="minorBidi"/>
      </w:rPr>
    </w:lvl>
    <w:lvl w:ilvl="2">
      <w:start w:val="1"/>
      <w:numFmt w:val="decimal"/>
      <w:lvlText w:val="%1.%2.%3"/>
      <w:lvlJc w:val="left"/>
      <w:pPr>
        <w:ind w:left="1854" w:hanging="720"/>
      </w:pPr>
      <w:rPr>
        <w:rFonts w:hint="default" w:cstheme="minorBidi"/>
        <w:color w:val="00B0F0"/>
      </w:rPr>
    </w:lvl>
    <w:lvl w:ilvl="3">
      <w:start w:val="1"/>
      <w:numFmt w:val="decimal"/>
      <w:lvlText w:val="%1.%2.%3.%4"/>
      <w:lvlJc w:val="left"/>
      <w:pPr>
        <w:ind w:left="2421" w:hanging="720"/>
      </w:pPr>
      <w:rPr>
        <w:rFonts w:hint="default" w:cstheme="minorBidi"/>
      </w:rPr>
    </w:lvl>
    <w:lvl w:ilvl="4">
      <w:start w:val="1"/>
      <w:numFmt w:val="decimal"/>
      <w:lvlText w:val="%1.%2.%3.%4.%5"/>
      <w:lvlJc w:val="left"/>
      <w:pPr>
        <w:ind w:left="3348" w:hanging="1080"/>
      </w:pPr>
      <w:rPr>
        <w:rFonts w:hint="default" w:cstheme="minorBidi"/>
      </w:rPr>
    </w:lvl>
    <w:lvl w:ilvl="5">
      <w:start w:val="1"/>
      <w:numFmt w:val="decimal"/>
      <w:lvlText w:val="%1.%2.%3.%4.%5.%6"/>
      <w:lvlJc w:val="left"/>
      <w:pPr>
        <w:ind w:left="3915" w:hanging="1080"/>
      </w:pPr>
      <w:rPr>
        <w:rFonts w:hint="default" w:cstheme="minorBidi"/>
      </w:rPr>
    </w:lvl>
    <w:lvl w:ilvl="6">
      <w:start w:val="1"/>
      <w:numFmt w:val="decimal"/>
      <w:lvlText w:val="%1.%2.%3.%4.%5.%6.%7"/>
      <w:lvlJc w:val="left"/>
      <w:pPr>
        <w:ind w:left="4842" w:hanging="1440"/>
      </w:pPr>
      <w:rPr>
        <w:rFonts w:hint="default" w:cstheme="minorBidi"/>
      </w:rPr>
    </w:lvl>
    <w:lvl w:ilvl="7">
      <w:start w:val="1"/>
      <w:numFmt w:val="decimal"/>
      <w:lvlText w:val="%1.%2.%3.%4.%5.%6.%7.%8"/>
      <w:lvlJc w:val="left"/>
      <w:pPr>
        <w:ind w:left="5409" w:hanging="1440"/>
      </w:pPr>
      <w:rPr>
        <w:rFonts w:hint="default" w:cstheme="minorBidi"/>
      </w:rPr>
    </w:lvl>
    <w:lvl w:ilvl="8">
      <w:start w:val="1"/>
      <w:numFmt w:val="decimal"/>
      <w:lvlText w:val="%1.%2.%3.%4.%5.%6.%7.%8.%9"/>
      <w:lvlJc w:val="left"/>
      <w:pPr>
        <w:ind w:left="5976" w:hanging="1440"/>
      </w:pPr>
      <w:rPr>
        <w:rFonts w:hint="default" w:cstheme="minorBidi"/>
      </w:rPr>
    </w:lvl>
  </w:abstractNum>
  <w:abstractNum w:abstractNumId="18" w15:restartNumberingAfterBreak="0">
    <w:nsid w:val="65AD7579"/>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861"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BA03DA"/>
    <w:multiLevelType w:val="multilevel"/>
    <w:tmpl w:val="FF0277B6"/>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34D3325"/>
    <w:multiLevelType w:val="multilevel"/>
    <w:tmpl w:val="6212C4F0"/>
    <w:lvl w:ilvl="0">
      <w:start w:val="1"/>
      <w:numFmt w:val="decimal"/>
      <w:lvlText w:val="%1."/>
      <w:lvlJc w:val="left"/>
      <w:pPr>
        <w:ind w:left="360" w:hanging="360"/>
      </w:pPr>
      <w:rPr>
        <w:rFonts w:hint="default"/>
      </w:rPr>
    </w:lvl>
    <w:lvl w:ilvl="1">
      <w:start w:val="1"/>
      <w:numFmt w:val="decimal"/>
      <w:lvlText w:val="20.%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8AD4491"/>
    <w:multiLevelType w:val="multilevel"/>
    <w:tmpl w:val="1BD05630"/>
    <w:lvl w:ilvl="0">
      <w:start w:val="1"/>
      <w:numFmt w:val="decimal"/>
      <w:lvlText w:val="%1."/>
      <w:lvlJc w:val="left"/>
      <w:pPr>
        <w:ind w:left="360" w:hanging="360"/>
      </w:pPr>
      <w:rPr>
        <w:rFonts w:hint="default"/>
      </w:rPr>
    </w:lvl>
    <w:lvl w:ilvl="1">
      <w:start w:val="1"/>
      <w:numFmt w:val="decimal"/>
      <w:lvlText w:val="22.%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9EA693D"/>
    <w:multiLevelType w:val="multilevel"/>
    <w:tmpl w:val="5588B77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494" w:hanging="504"/>
      </w:pPr>
      <w:rPr>
        <w:rFonts w:hint="default" w:ascii="Calibri" w:hAnsi="Calibri" w:cs="Calibr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5A13BA"/>
    <w:multiLevelType w:val="multilevel"/>
    <w:tmpl w:val="03C8634A"/>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EF425E8"/>
    <w:multiLevelType w:val="multilevel"/>
    <w:tmpl w:val="1E12D88E"/>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5071066">
    <w:abstractNumId w:val="4"/>
  </w:num>
  <w:num w:numId="2" w16cid:durableId="933319310">
    <w:abstractNumId w:val="8"/>
  </w:num>
  <w:num w:numId="3" w16cid:durableId="1526092717">
    <w:abstractNumId w:val="20"/>
  </w:num>
  <w:num w:numId="4" w16cid:durableId="1437675716">
    <w:abstractNumId w:val="22"/>
  </w:num>
  <w:num w:numId="5" w16cid:durableId="1308167138">
    <w:abstractNumId w:val="12"/>
  </w:num>
  <w:num w:numId="6" w16cid:durableId="1267687702">
    <w:abstractNumId w:val="23"/>
  </w:num>
  <w:num w:numId="7" w16cid:durableId="1163857370">
    <w:abstractNumId w:val="10"/>
  </w:num>
  <w:num w:numId="8" w16cid:durableId="1954092755">
    <w:abstractNumId w:val="18"/>
  </w:num>
  <w:num w:numId="9" w16cid:durableId="1328440465">
    <w:abstractNumId w:val="9"/>
  </w:num>
  <w:num w:numId="10" w16cid:durableId="1250888362">
    <w:abstractNumId w:val="14"/>
  </w:num>
  <w:num w:numId="11" w16cid:durableId="1723941265">
    <w:abstractNumId w:val="2"/>
  </w:num>
  <w:num w:numId="12" w16cid:durableId="95059505">
    <w:abstractNumId w:val="6"/>
  </w:num>
  <w:num w:numId="13" w16cid:durableId="534124557">
    <w:abstractNumId w:val="17"/>
  </w:num>
  <w:num w:numId="14" w16cid:durableId="2014262746">
    <w:abstractNumId w:val="1"/>
  </w:num>
  <w:num w:numId="15" w16cid:durableId="814949238">
    <w:abstractNumId w:val="19"/>
  </w:num>
  <w:num w:numId="16" w16cid:durableId="1689023852">
    <w:abstractNumId w:val="21"/>
  </w:num>
  <w:num w:numId="17" w16cid:durableId="57367700">
    <w:abstractNumId w:val="0"/>
  </w:num>
  <w:num w:numId="18" w16cid:durableId="1038504400">
    <w:abstractNumId w:val="5"/>
  </w:num>
  <w:num w:numId="19" w16cid:durableId="201094351">
    <w:abstractNumId w:val="24"/>
  </w:num>
  <w:num w:numId="20" w16cid:durableId="635725835">
    <w:abstractNumId w:val="7"/>
  </w:num>
  <w:num w:numId="21" w16cid:durableId="1513110397">
    <w:abstractNumId w:val="3"/>
  </w:num>
  <w:num w:numId="22" w16cid:durableId="1796289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8543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5836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3974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835393">
    <w:abstractNumId w:val="13"/>
  </w:num>
  <w:num w:numId="27" w16cid:durableId="984435536">
    <w:abstractNumId w:val="16"/>
  </w:num>
  <w:num w:numId="28" w16cid:durableId="1147475590">
    <w:abstractNumId w:val="15"/>
  </w:num>
  <w:num w:numId="29" w16cid:durableId="16606219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B4"/>
    <w:rsid w:val="0001070B"/>
    <w:rsid w:val="00011E4C"/>
    <w:rsid w:val="00025F6C"/>
    <w:rsid w:val="0003614A"/>
    <w:rsid w:val="00037E41"/>
    <w:rsid w:val="00044B3B"/>
    <w:rsid w:val="00044F94"/>
    <w:rsid w:val="00055B94"/>
    <w:rsid w:val="0006103B"/>
    <w:rsid w:val="00070A4A"/>
    <w:rsid w:val="0007114E"/>
    <w:rsid w:val="0008361E"/>
    <w:rsid w:val="00091517"/>
    <w:rsid w:val="00091DC4"/>
    <w:rsid w:val="000974CC"/>
    <w:rsid w:val="000A3A3C"/>
    <w:rsid w:val="000A49E3"/>
    <w:rsid w:val="000B16B4"/>
    <w:rsid w:val="000C0F96"/>
    <w:rsid w:val="000C3F6F"/>
    <w:rsid w:val="000C559E"/>
    <w:rsid w:val="000D0CF0"/>
    <w:rsid w:val="000F1E57"/>
    <w:rsid w:val="000F47B0"/>
    <w:rsid w:val="000F744B"/>
    <w:rsid w:val="00102741"/>
    <w:rsid w:val="00103DEB"/>
    <w:rsid w:val="00110C91"/>
    <w:rsid w:val="001137F7"/>
    <w:rsid w:val="0012598D"/>
    <w:rsid w:val="001260BF"/>
    <w:rsid w:val="001424DA"/>
    <w:rsid w:val="00143E86"/>
    <w:rsid w:val="00146A8A"/>
    <w:rsid w:val="0017266A"/>
    <w:rsid w:val="00180BDB"/>
    <w:rsid w:val="001A53CA"/>
    <w:rsid w:val="001A7086"/>
    <w:rsid w:val="001B2689"/>
    <w:rsid w:val="001B531C"/>
    <w:rsid w:val="001D5B8D"/>
    <w:rsid w:val="001D7B76"/>
    <w:rsid w:val="001E78A8"/>
    <w:rsid w:val="00203037"/>
    <w:rsid w:val="00212375"/>
    <w:rsid w:val="00215A75"/>
    <w:rsid w:val="00220FA1"/>
    <w:rsid w:val="00223670"/>
    <w:rsid w:val="002261B4"/>
    <w:rsid w:val="002510F1"/>
    <w:rsid w:val="0027636D"/>
    <w:rsid w:val="00281688"/>
    <w:rsid w:val="00282778"/>
    <w:rsid w:val="0028293F"/>
    <w:rsid w:val="00283185"/>
    <w:rsid w:val="00290C53"/>
    <w:rsid w:val="002A252A"/>
    <w:rsid w:val="002B356B"/>
    <w:rsid w:val="002C32C6"/>
    <w:rsid w:val="002C4FB5"/>
    <w:rsid w:val="002F1B11"/>
    <w:rsid w:val="002F3E02"/>
    <w:rsid w:val="002F599A"/>
    <w:rsid w:val="002F7257"/>
    <w:rsid w:val="00300E35"/>
    <w:rsid w:val="003069A0"/>
    <w:rsid w:val="0032703B"/>
    <w:rsid w:val="00345CE4"/>
    <w:rsid w:val="003502FB"/>
    <w:rsid w:val="00355FE0"/>
    <w:rsid w:val="00356B44"/>
    <w:rsid w:val="003628A7"/>
    <w:rsid w:val="00375A75"/>
    <w:rsid w:val="00392190"/>
    <w:rsid w:val="003968BB"/>
    <w:rsid w:val="003A5421"/>
    <w:rsid w:val="003A74C8"/>
    <w:rsid w:val="003B5C8E"/>
    <w:rsid w:val="003C7BEA"/>
    <w:rsid w:val="003D1AA5"/>
    <w:rsid w:val="003D7D3F"/>
    <w:rsid w:val="003E030C"/>
    <w:rsid w:val="003F5534"/>
    <w:rsid w:val="00411A9E"/>
    <w:rsid w:val="00417252"/>
    <w:rsid w:val="004206C2"/>
    <w:rsid w:val="00421E8F"/>
    <w:rsid w:val="0042485A"/>
    <w:rsid w:val="00426793"/>
    <w:rsid w:val="004432B1"/>
    <w:rsid w:val="00450C93"/>
    <w:rsid w:val="004550C1"/>
    <w:rsid w:val="00466580"/>
    <w:rsid w:val="00481F88"/>
    <w:rsid w:val="004B2602"/>
    <w:rsid w:val="004B4F96"/>
    <w:rsid w:val="004C3825"/>
    <w:rsid w:val="004C4E4C"/>
    <w:rsid w:val="004C5BF6"/>
    <w:rsid w:val="004C6412"/>
    <w:rsid w:val="004E23B6"/>
    <w:rsid w:val="004E4A1D"/>
    <w:rsid w:val="004F69EF"/>
    <w:rsid w:val="0052197D"/>
    <w:rsid w:val="00526CB4"/>
    <w:rsid w:val="00531CF8"/>
    <w:rsid w:val="00537B36"/>
    <w:rsid w:val="00544479"/>
    <w:rsid w:val="005772DD"/>
    <w:rsid w:val="005A31E2"/>
    <w:rsid w:val="005B1D27"/>
    <w:rsid w:val="005B2B54"/>
    <w:rsid w:val="005B513C"/>
    <w:rsid w:val="005D318F"/>
    <w:rsid w:val="005D7BED"/>
    <w:rsid w:val="005E06E1"/>
    <w:rsid w:val="005E1F5A"/>
    <w:rsid w:val="005E7684"/>
    <w:rsid w:val="005F1004"/>
    <w:rsid w:val="005F7213"/>
    <w:rsid w:val="00627E74"/>
    <w:rsid w:val="0063008E"/>
    <w:rsid w:val="006358C4"/>
    <w:rsid w:val="00636536"/>
    <w:rsid w:val="00636E25"/>
    <w:rsid w:val="006573D1"/>
    <w:rsid w:val="006808E9"/>
    <w:rsid w:val="00680E5D"/>
    <w:rsid w:val="006838EF"/>
    <w:rsid w:val="006850AA"/>
    <w:rsid w:val="00687A40"/>
    <w:rsid w:val="006A4287"/>
    <w:rsid w:val="006C11D3"/>
    <w:rsid w:val="006E2F71"/>
    <w:rsid w:val="006E305D"/>
    <w:rsid w:val="00701B02"/>
    <w:rsid w:val="00707948"/>
    <w:rsid w:val="00741645"/>
    <w:rsid w:val="00741D86"/>
    <w:rsid w:val="007637FF"/>
    <w:rsid w:val="007638BB"/>
    <w:rsid w:val="00766EF7"/>
    <w:rsid w:val="0077051A"/>
    <w:rsid w:val="00770C3A"/>
    <w:rsid w:val="007713E2"/>
    <w:rsid w:val="007805DC"/>
    <w:rsid w:val="007828D9"/>
    <w:rsid w:val="00795894"/>
    <w:rsid w:val="007A019E"/>
    <w:rsid w:val="007A3F17"/>
    <w:rsid w:val="007B65D3"/>
    <w:rsid w:val="007C1551"/>
    <w:rsid w:val="007C1E9D"/>
    <w:rsid w:val="007D1B63"/>
    <w:rsid w:val="007D22EE"/>
    <w:rsid w:val="007F4871"/>
    <w:rsid w:val="0081119E"/>
    <w:rsid w:val="008121BA"/>
    <w:rsid w:val="00824B55"/>
    <w:rsid w:val="0083653A"/>
    <w:rsid w:val="0084274B"/>
    <w:rsid w:val="00844BE1"/>
    <w:rsid w:val="0085472D"/>
    <w:rsid w:val="00860020"/>
    <w:rsid w:val="00862C84"/>
    <w:rsid w:val="00872680"/>
    <w:rsid w:val="00875A46"/>
    <w:rsid w:val="00875F2D"/>
    <w:rsid w:val="00886E1E"/>
    <w:rsid w:val="008A0A62"/>
    <w:rsid w:val="008B5754"/>
    <w:rsid w:val="008C0830"/>
    <w:rsid w:val="008C3CDD"/>
    <w:rsid w:val="008F3436"/>
    <w:rsid w:val="008F6042"/>
    <w:rsid w:val="00906087"/>
    <w:rsid w:val="00914517"/>
    <w:rsid w:val="00922D45"/>
    <w:rsid w:val="00934E1D"/>
    <w:rsid w:val="00942D0A"/>
    <w:rsid w:val="00952A10"/>
    <w:rsid w:val="00973A8D"/>
    <w:rsid w:val="009742F4"/>
    <w:rsid w:val="00987D2A"/>
    <w:rsid w:val="009A08C9"/>
    <w:rsid w:val="009A19E6"/>
    <w:rsid w:val="009A3E9D"/>
    <w:rsid w:val="009A46CB"/>
    <w:rsid w:val="009B17F0"/>
    <w:rsid w:val="009C07CA"/>
    <w:rsid w:val="009C5C6A"/>
    <w:rsid w:val="009C69F4"/>
    <w:rsid w:val="009D3C64"/>
    <w:rsid w:val="009D6127"/>
    <w:rsid w:val="009E0277"/>
    <w:rsid w:val="009F42BD"/>
    <w:rsid w:val="00A0594B"/>
    <w:rsid w:val="00A1525B"/>
    <w:rsid w:val="00A20B39"/>
    <w:rsid w:val="00A33CD4"/>
    <w:rsid w:val="00A372EC"/>
    <w:rsid w:val="00A37C28"/>
    <w:rsid w:val="00A4750D"/>
    <w:rsid w:val="00A510BC"/>
    <w:rsid w:val="00A62E3F"/>
    <w:rsid w:val="00A75DCE"/>
    <w:rsid w:val="00A82710"/>
    <w:rsid w:val="00AA7397"/>
    <w:rsid w:val="00AB602E"/>
    <w:rsid w:val="00AD71CC"/>
    <w:rsid w:val="00AE6092"/>
    <w:rsid w:val="00AE6232"/>
    <w:rsid w:val="00B007EE"/>
    <w:rsid w:val="00B03B13"/>
    <w:rsid w:val="00B127B3"/>
    <w:rsid w:val="00B23281"/>
    <w:rsid w:val="00B2606B"/>
    <w:rsid w:val="00B529D0"/>
    <w:rsid w:val="00B60D1E"/>
    <w:rsid w:val="00B6236A"/>
    <w:rsid w:val="00B67142"/>
    <w:rsid w:val="00B70361"/>
    <w:rsid w:val="00B745D7"/>
    <w:rsid w:val="00B80C89"/>
    <w:rsid w:val="00B917FB"/>
    <w:rsid w:val="00BA3852"/>
    <w:rsid w:val="00BE49A9"/>
    <w:rsid w:val="00BE7C9E"/>
    <w:rsid w:val="00BF2E30"/>
    <w:rsid w:val="00C03D72"/>
    <w:rsid w:val="00C133D6"/>
    <w:rsid w:val="00C158BD"/>
    <w:rsid w:val="00C17BF8"/>
    <w:rsid w:val="00C24A90"/>
    <w:rsid w:val="00C30512"/>
    <w:rsid w:val="00C35097"/>
    <w:rsid w:val="00C74B50"/>
    <w:rsid w:val="00C75427"/>
    <w:rsid w:val="00C948FE"/>
    <w:rsid w:val="00C961FC"/>
    <w:rsid w:val="00CA1A51"/>
    <w:rsid w:val="00CA7ACD"/>
    <w:rsid w:val="00CB0F0C"/>
    <w:rsid w:val="00CB7B81"/>
    <w:rsid w:val="00CC4A71"/>
    <w:rsid w:val="00CC6285"/>
    <w:rsid w:val="00CD05ED"/>
    <w:rsid w:val="00CE19D8"/>
    <w:rsid w:val="00CE6A66"/>
    <w:rsid w:val="00CF21B5"/>
    <w:rsid w:val="00D0284F"/>
    <w:rsid w:val="00D04903"/>
    <w:rsid w:val="00D0594C"/>
    <w:rsid w:val="00D119EA"/>
    <w:rsid w:val="00D17E1E"/>
    <w:rsid w:val="00D238E3"/>
    <w:rsid w:val="00D23DC0"/>
    <w:rsid w:val="00D46552"/>
    <w:rsid w:val="00D5166C"/>
    <w:rsid w:val="00D51720"/>
    <w:rsid w:val="00D52C41"/>
    <w:rsid w:val="00D52EA7"/>
    <w:rsid w:val="00D57958"/>
    <w:rsid w:val="00D7206F"/>
    <w:rsid w:val="00D73F51"/>
    <w:rsid w:val="00D87E1B"/>
    <w:rsid w:val="00DA7B0A"/>
    <w:rsid w:val="00DB0807"/>
    <w:rsid w:val="00DC356C"/>
    <w:rsid w:val="00DC4256"/>
    <w:rsid w:val="00DC78A3"/>
    <w:rsid w:val="00DD760E"/>
    <w:rsid w:val="00DF0928"/>
    <w:rsid w:val="00DF2DB7"/>
    <w:rsid w:val="00E0290E"/>
    <w:rsid w:val="00E07B66"/>
    <w:rsid w:val="00E11BCE"/>
    <w:rsid w:val="00E30624"/>
    <w:rsid w:val="00E30C68"/>
    <w:rsid w:val="00E41FE4"/>
    <w:rsid w:val="00E47C89"/>
    <w:rsid w:val="00E71D5B"/>
    <w:rsid w:val="00E75CD7"/>
    <w:rsid w:val="00E86B63"/>
    <w:rsid w:val="00E954EC"/>
    <w:rsid w:val="00E961A2"/>
    <w:rsid w:val="00EB4220"/>
    <w:rsid w:val="00EB5669"/>
    <w:rsid w:val="00EB78E9"/>
    <w:rsid w:val="00EC2922"/>
    <w:rsid w:val="00EC29CB"/>
    <w:rsid w:val="00ED343A"/>
    <w:rsid w:val="00ED66F6"/>
    <w:rsid w:val="00ED7889"/>
    <w:rsid w:val="00EF07D9"/>
    <w:rsid w:val="00EF1089"/>
    <w:rsid w:val="00EF6B45"/>
    <w:rsid w:val="00F01A04"/>
    <w:rsid w:val="00F112ED"/>
    <w:rsid w:val="00F26B52"/>
    <w:rsid w:val="00F33293"/>
    <w:rsid w:val="00F461FD"/>
    <w:rsid w:val="00F465BE"/>
    <w:rsid w:val="00F6203C"/>
    <w:rsid w:val="00FA51FE"/>
    <w:rsid w:val="00FA6B90"/>
    <w:rsid w:val="00FB3BE6"/>
    <w:rsid w:val="00FB51D7"/>
    <w:rsid w:val="00FB69C1"/>
    <w:rsid w:val="00FB7B2A"/>
    <w:rsid w:val="00FC5150"/>
    <w:rsid w:val="00FD655F"/>
    <w:rsid w:val="00FF5165"/>
    <w:rsid w:val="05155516"/>
    <w:rsid w:val="05A3741E"/>
    <w:rsid w:val="0985F9F6"/>
    <w:rsid w:val="0B25571C"/>
    <w:rsid w:val="0C0C9C43"/>
    <w:rsid w:val="0E38E7F8"/>
    <w:rsid w:val="0EAE6A56"/>
    <w:rsid w:val="147FD03F"/>
    <w:rsid w:val="170E9039"/>
    <w:rsid w:val="1A248B2B"/>
    <w:rsid w:val="1AAF4842"/>
    <w:rsid w:val="1B59D0BE"/>
    <w:rsid w:val="1C0ABCCE"/>
    <w:rsid w:val="1D86291B"/>
    <w:rsid w:val="202310CC"/>
    <w:rsid w:val="245CA0D0"/>
    <w:rsid w:val="2ADBDC8D"/>
    <w:rsid w:val="34EE2C24"/>
    <w:rsid w:val="453D17C3"/>
    <w:rsid w:val="464060CB"/>
    <w:rsid w:val="4DEECB34"/>
    <w:rsid w:val="506927FE"/>
    <w:rsid w:val="531E9F93"/>
    <w:rsid w:val="57327200"/>
    <w:rsid w:val="5C2D1401"/>
    <w:rsid w:val="5C997ECE"/>
    <w:rsid w:val="5D34F604"/>
    <w:rsid w:val="5DA7EAD2"/>
    <w:rsid w:val="5EEBB9F2"/>
    <w:rsid w:val="607A6146"/>
    <w:rsid w:val="627A9DD3"/>
    <w:rsid w:val="6B55F511"/>
    <w:rsid w:val="6D9FC7D2"/>
    <w:rsid w:val="74C3516B"/>
    <w:rsid w:val="77D9303F"/>
    <w:rsid w:val="787F44AD"/>
    <w:rsid w:val="7C175AF7"/>
    <w:rsid w:val="7C5D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0FC71"/>
  <w15:chartTrackingRefBased/>
  <w15:docId w15:val="{D6D95BD7-23CD-4900-ABA8-1AF602B5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43A"/>
    <w:rPr>
      <w:kern w:val="0"/>
      <w:lang w:val="en-IN"/>
      <w14:ligatures w14:val="none"/>
    </w:rPr>
  </w:style>
  <w:style w:type="paragraph" w:styleId="Heading1">
    <w:name w:val="heading 1"/>
    <w:basedOn w:val="Normal"/>
    <w:next w:val="Normal"/>
    <w:link w:val="Heading1Char"/>
    <w:uiPriority w:val="9"/>
    <w:qFormat/>
    <w:rsid w:val="002261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1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1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61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261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61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61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61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61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61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61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61B4"/>
    <w:rPr>
      <w:rFonts w:eastAsiaTheme="majorEastAsia" w:cstheme="majorBidi"/>
      <w:color w:val="272727" w:themeColor="text1" w:themeTint="D8"/>
    </w:rPr>
  </w:style>
  <w:style w:type="paragraph" w:styleId="Title">
    <w:name w:val="Title"/>
    <w:basedOn w:val="Normal"/>
    <w:next w:val="Normal"/>
    <w:link w:val="TitleChar"/>
    <w:uiPriority w:val="10"/>
    <w:qFormat/>
    <w:rsid w:val="002261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61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61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6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1B4"/>
    <w:pPr>
      <w:spacing w:before="160"/>
      <w:jc w:val="center"/>
    </w:pPr>
    <w:rPr>
      <w:i/>
      <w:iCs/>
      <w:color w:val="404040" w:themeColor="text1" w:themeTint="BF"/>
    </w:rPr>
  </w:style>
  <w:style w:type="character" w:styleId="QuoteChar" w:customStyle="1">
    <w:name w:val="Quote Char"/>
    <w:basedOn w:val="DefaultParagraphFont"/>
    <w:link w:val="Quote"/>
    <w:uiPriority w:val="29"/>
    <w:rsid w:val="002261B4"/>
    <w:rPr>
      <w:i/>
      <w:iCs/>
      <w:color w:val="404040" w:themeColor="text1" w:themeTint="BF"/>
    </w:rPr>
  </w:style>
  <w:style w:type="paragraph" w:styleId="ListParagraph">
    <w:name w:val="List Paragraph"/>
    <w:aliases w:val="List Paragraph 2,Bullet List Paragraph,Use Case List Paragraph,List Paragraph1,Citation List"/>
    <w:basedOn w:val="Normal"/>
    <w:link w:val="ListParagraphChar"/>
    <w:uiPriority w:val="34"/>
    <w:qFormat/>
    <w:rsid w:val="002261B4"/>
    <w:pPr>
      <w:ind w:left="720"/>
      <w:contextualSpacing/>
    </w:pPr>
  </w:style>
  <w:style w:type="character" w:styleId="IntenseEmphasis">
    <w:name w:val="Intense Emphasis"/>
    <w:basedOn w:val="DefaultParagraphFont"/>
    <w:uiPriority w:val="21"/>
    <w:qFormat/>
    <w:rsid w:val="002261B4"/>
    <w:rPr>
      <w:i/>
      <w:iCs/>
      <w:color w:val="0F4761" w:themeColor="accent1" w:themeShade="BF"/>
    </w:rPr>
  </w:style>
  <w:style w:type="paragraph" w:styleId="IntenseQuote">
    <w:name w:val="Intense Quote"/>
    <w:basedOn w:val="Normal"/>
    <w:next w:val="Normal"/>
    <w:link w:val="IntenseQuoteChar"/>
    <w:uiPriority w:val="30"/>
    <w:qFormat/>
    <w:rsid w:val="002261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61B4"/>
    <w:rPr>
      <w:i/>
      <w:iCs/>
      <w:color w:val="0F4761" w:themeColor="accent1" w:themeShade="BF"/>
    </w:rPr>
  </w:style>
  <w:style w:type="character" w:styleId="IntenseReference">
    <w:name w:val="Intense Reference"/>
    <w:basedOn w:val="DefaultParagraphFont"/>
    <w:uiPriority w:val="32"/>
    <w:qFormat/>
    <w:rsid w:val="002261B4"/>
    <w:rPr>
      <w:b/>
      <w:bCs/>
      <w:smallCaps/>
      <w:color w:val="0F4761" w:themeColor="accent1" w:themeShade="BF"/>
      <w:spacing w:val="5"/>
    </w:rPr>
  </w:style>
  <w:style w:type="paragraph" w:styleId="Header">
    <w:name w:val="header"/>
    <w:basedOn w:val="Normal"/>
    <w:link w:val="HeaderChar"/>
    <w:uiPriority w:val="99"/>
    <w:unhideWhenUsed/>
    <w:rsid w:val="00ED343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343A"/>
    <w:rPr>
      <w:kern w:val="0"/>
      <w:lang w:val="en-IN"/>
      <w14:ligatures w14:val="none"/>
    </w:rPr>
  </w:style>
  <w:style w:type="paragraph" w:styleId="Footer">
    <w:name w:val="footer"/>
    <w:basedOn w:val="Normal"/>
    <w:link w:val="FooterChar"/>
    <w:uiPriority w:val="99"/>
    <w:unhideWhenUsed/>
    <w:rsid w:val="00ED343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343A"/>
    <w:rPr>
      <w:kern w:val="0"/>
      <w:lang w:val="en-IN"/>
      <w14:ligatures w14:val="none"/>
    </w:rPr>
  </w:style>
  <w:style w:type="paragraph" w:styleId="NoSpacing">
    <w:name w:val="No Spacing"/>
    <w:uiPriority w:val="1"/>
    <w:qFormat/>
    <w:rsid w:val="00ED343A"/>
    <w:pPr>
      <w:spacing w:after="0" w:line="240" w:lineRule="auto"/>
    </w:pPr>
    <w:rPr>
      <w:rFonts w:ascii="Calibri" w:hAnsi="Calibri" w:eastAsia="Times New Roman" w:cs="Times New Roman"/>
      <w:kern w:val="0"/>
      <w:lang w:val="en-IN" w:eastAsia="en-IN"/>
      <w14:ligatures w14:val="none"/>
    </w:rPr>
  </w:style>
  <w:style w:type="table" w:styleId="TableGrid">
    <w:name w:val="Table Grid"/>
    <w:basedOn w:val="TableNormal"/>
    <w:uiPriority w:val="39"/>
    <w:rsid w:val="00ED343A"/>
    <w:pPr>
      <w:spacing w:after="0" w:line="240" w:lineRule="auto"/>
    </w:pPr>
    <w:rPr>
      <w:kern w:val="0"/>
      <w:lang w:val="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ED343A"/>
    <w:rPr>
      <w:sz w:val="16"/>
      <w:szCs w:val="16"/>
    </w:rPr>
  </w:style>
  <w:style w:type="paragraph" w:styleId="CommentText">
    <w:name w:val="annotation text"/>
    <w:basedOn w:val="Normal"/>
    <w:link w:val="CommentTextChar"/>
    <w:uiPriority w:val="99"/>
    <w:unhideWhenUsed/>
    <w:rsid w:val="00ED343A"/>
    <w:pPr>
      <w:spacing w:line="240" w:lineRule="auto"/>
    </w:pPr>
    <w:rPr>
      <w:sz w:val="20"/>
      <w:szCs w:val="20"/>
    </w:rPr>
  </w:style>
  <w:style w:type="character" w:styleId="CommentTextChar" w:customStyle="1">
    <w:name w:val="Comment Text Char"/>
    <w:basedOn w:val="DefaultParagraphFont"/>
    <w:link w:val="CommentText"/>
    <w:uiPriority w:val="99"/>
    <w:rsid w:val="00ED343A"/>
    <w:rPr>
      <w:kern w:val="0"/>
      <w:sz w:val="20"/>
      <w:szCs w:val="20"/>
      <w:lang w:val="en-IN"/>
      <w14:ligatures w14:val="none"/>
    </w:rPr>
  </w:style>
  <w:style w:type="character" w:styleId="ListParagraphChar" w:customStyle="1">
    <w:name w:val="List Paragraph Char"/>
    <w:aliases w:val="List Paragraph 2 Char,Bullet List Paragraph Char,Use Case List Paragraph Char,List Paragraph1 Char,Citation List Char"/>
    <w:link w:val="ListParagraph"/>
    <w:uiPriority w:val="34"/>
    <w:rsid w:val="00ED343A"/>
  </w:style>
  <w:style w:type="character" w:styleId="ui-provider" w:customStyle="1">
    <w:name w:val="ui-provider"/>
    <w:basedOn w:val="DefaultParagraphFont"/>
    <w:rsid w:val="00ED343A"/>
  </w:style>
  <w:style w:type="character" w:styleId="Strong">
    <w:name w:val="Strong"/>
    <w:basedOn w:val="DefaultParagraphFont"/>
    <w:uiPriority w:val="22"/>
    <w:qFormat/>
    <w:rsid w:val="00ED343A"/>
    <w:rPr>
      <w:b/>
      <w:bCs/>
    </w:rPr>
  </w:style>
  <w:style w:type="paragraph" w:styleId="Revision">
    <w:name w:val="Revision"/>
    <w:hidden/>
    <w:uiPriority w:val="99"/>
    <w:semiHidden/>
    <w:rsid w:val="008121BA"/>
    <w:pPr>
      <w:spacing w:after="0" w:line="240" w:lineRule="auto"/>
    </w:pPr>
    <w:rPr>
      <w:kern w:val="0"/>
      <w:lang w:val="en-IN"/>
      <w14:ligatures w14:val="none"/>
    </w:rPr>
  </w:style>
  <w:style w:type="paragraph" w:styleId="CommentSubject">
    <w:name w:val="annotation subject"/>
    <w:basedOn w:val="CommentText"/>
    <w:next w:val="CommentText"/>
    <w:link w:val="CommentSubjectChar"/>
    <w:uiPriority w:val="99"/>
    <w:semiHidden/>
    <w:unhideWhenUsed/>
    <w:rsid w:val="002B356B"/>
    <w:rPr>
      <w:b/>
      <w:bCs/>
    </w:rPr>
  </w:style>
  <w:style w:type="character" w:styleId="CommentSubjectChar" w:customStyle="1">
    <w:name w:val="Comment Subject Char"/>
    <w:basedOn w:val="CommentTextChar"/>
    <w:link w:val="CommentSubject"/>
    <w:uiPriority w:val="99"/>
    <w:semiHidden/>
    <w:rsid w:val="002B356B"/>
    <w:rPr>
      <w:b/>
      <w:bCs/>
      <w:kern w:val="0"/>
      <w:sz w:val="20"/>
      <w:szCs w:val="20"/>
      <w:lang w:val="en-IN"/>
      <w14:ligatures w14:val="none"/>
    </w:rPr>
  </w:style>
  <w:style w:type="paragraph" w:styleId="FootnoteText">
    <w:name w:val="footnote text"/>
    <w:basedOn w:val="Normal"/>
    <w:link w:val="FootnoteTextChar"/>
    <w:uiPriority w:val="99"/>
    <w:semiHidden/>
    <w:unhideWhenUsed/>
    <w:rsid w:val="00FA6B9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FA6B90"/>
    <w:rPr>
      <w:kern w:val="0"/>
      <w:sz w:val="20"/>
      <w:szCs w:val="20"/>
      <w:lang w:val="en-IN"/>
      <w14:ligatures w14:val="none"/>
    </w:rPr>
  </w:style>
  <w:style w:type="paragraph" w:styleId="pf0" w:customStyle="1">
    <w:name w:val="pf0"/>
    <w:basedOn w:val="Normal"/>
    <w:rsid w:val="008F6042"/>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cf01" w:customStyle="1">
    <w:name w:val="cf01"/>
    <w:basedOn w:val="DefaultParagraphFont"/>
    <w:rsid w:val="008F6042"/>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306">
      <w:bodyDiv w:val="1"/>
      <w:marLeft w:val="0"/>
      <w:marRight w:val="0"/>
      <w:marTop w:val="0"/>
      <w:marBottom w:val="0"/>
      <w:divBdr>
        <w:top w:val="none" w:sz="0" w:space="0" w:color="auto"/>
        <w:left w:val="none" w:sz="0" w:space="0" w:color="auto"/>
        <w:bottom w:val="none" w:sz="0" w:space="0" w:color="auto"/>
        <w:right w:val="none" w:sz="0" w:space="0" w:color="auto"/>
      </w:divBdr>
    </w:div>
    <w:div w:id="133676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936FF-2D06-4C3E-9AF9-55CF8AE5C3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Ashwarya Verandani</dc:creator>
  <keywords/>
  <dc:description/>
  <lastModifiedBy>KKC Quality Team</lastModifiedBy>
  <revision>83</revision>
  <lastPrinted>2026-03-24T13:28:00.0000000Z</lastPrinted>
  <dcterms:created xsi:type="dcterms:W3CDTF">2025-04-08T12:36:00.0000000Z</dcterms:created>
  <dcterms:modified xsi:type="dcterms:W3CDTF">2026-04-20T09:00:43.7855966Z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9bb905634dc1c44305cd1398ef45956568eb67f9538a89d29a2d5af5b2a884b8</vt:lpwstr>
  </property>
</Properties>
</file>