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C5C6A" w:rsidR="00C948FE" w:rsidP="00C948FE" w:rsidRDefault="007805DC" w14:paraId="5091E49D" w14:textId="4429341B">
      <w:pPr>
        <w:pStyle w:val="NoSpacing"/>
        <w:jc w:val="both"/>
        <w:rPr>
          <w:rFonts w:ascii="Source Sans Pro" w:hAnsi="Source Sans Pro" w:cs="Calibri"/>
          <w:color w:val="00B0F0"/>
        </w:rPr>
      </w:pPr>
      <w:r w:rsidRPr="009C5C6A">
        <w:rPr>
          <w:rFonts w:ascii="Source Sans Pro" w:hAnsi="Source Sans Pro"/>
          <w:b/>
          <w:bCs/>
          <w:noProof/>
        </w:rPr>
        <mc:AlternateContent>
          <mc:Choice Requires="wps">
            <w:drawing>
              <wp:anchor distT="45720" distB="45720" distL="114300" distR="114300" simplePos="0" relativeHeight="251671552" behindDoc="0" locked="0" layoutInCell="1" allowOverlap="1" wp14:anchorId="471C25E6" wp14:editId="301B4021">
                <wp:simplePos x="0" y="0"/>
                <wp:positionH relativeFrom="margin">
                  <wp:align>left</wp:align>
                </wp:positionH>
                <wp:positionV relativeFrom="paragraph">
                  <wp:posOffset>55245</wp:posOffset>
                </wp:positionV>
                <wp:extent cx="5534025" cy="266700"/>
                <wp:effectExtent l="0" t="0" r="28575" b="19050"/>
                <wp:wrapNone/>
                <wp:docPr id="4" name="Text Box 4"/>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7805DC" w:rsidP="007805DC" w:rsidRDefault="007805DC" w14:paraId="0E814723" w14:textId="6756092C">
                            <w:pPr>
                              <w:rPr>
                                <w:b/>
                                <w:bCs/>
                                <w:color w:val="00B0F0"/>
                                <w:lang w:val="en-US"/>
                              </w:rPr>
                            </w:pPr>
                            <w:r w:rsidRPr="0084409A">
                              <w:rPr>
                                <w:b/>
                                <w:bCs/>
                                <w:color w:val="00B0F0"/>
                                <w:lang w:val="en-US"/>
                              </w:rPr>
                              <w:t xml:space="preserve">Report </w:t>
                            </w:r>
                            <w:r>
                              <w:rPr>
                                <w:b/>
                                <w:bCs/>
                                <w:color w:val="00B0F0"/>
                                <w:lang w:val="en-US"/>
                              </w:rPr>
                              <w:t>VII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Un</w:t>
                            </w:r>
                            <w:r w:rsidRPr="0084409A" w:rsidR="007A019E">
                              <w:rPr>
                                <w:b/>
                                <w:bCs/>
                                <w:color w:val="00B0F0"/>
                                <w:lang w:val="en-US"/>
                              </w:rPr>
                              <w:t xml:space="preserve">listed Company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style="position:absolute;left:0;text-align:left;margin-left:0;margin-top:4.35pt;width:435.75pt;height:2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Ey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" w14:anchorId="471C25E6">
                <v:textbox>
                  <w:txbxContent>
                    <w:p w:rsidRPr="0084409A" w:rsidR="007805DC" w:rsidP="007805DC" w:rsidRDefault="007805DC" w14:paraId="0E814723" w14:textId="6756092C">
                      <w:pPr>
                        <w:rPr>
                          <w:b/>
                          <w:bCs/>
                          <w:color w:val="00B0F0"/>
                          <w:lang w:val="en-US"/>
                        </w:rPr>
                      </w:pPr>
                      <w:r w:rsidRPr="0084409A">
                        <w:rPr>
                          <w:b/>
                          <w:bCs/>
                          <w:color w:val="00B0F0"/>
                          <w:lang w:val="en-US"/>
                        </w:rPr>
                        <w:t xml:space="preserve">Report </w:t>
                      </w:r>
                      <w:r>
                        <w:rPr>
                          <w:b/>
                          <w:bCs/>
                          <w:color w:val="00B0F0"/>
                          <w:lang w:val="en-US"/>
                        </w:rPr>
                        <w:t>VII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Un</w:t>
                      </w:r>
                      <w:r w:rsidRPr="0084409A" w:rsidR="007A019E">
                        <w:rPr>
                          <w:b/>
                          <w:bCs/>
                          <w:color w:val="00B0F0"/>
                          <w:lang w:val="en-US"/>
                        </w:rPr>
                        <w:t xml:space="preserve">listed Company </w:t>
                      </w:r>
                    </w:p>
                  </w:txbxContent>
                </v:textbox>
                <w10:wrap anchorx="margin"/>
              </v:shape>
            </w:pict>
          </mc:Fallback>
        </mc:AlternateContent>
      </w:r>
    </w:p>
    <w:p w:rsidRPr="009C5C6A" w:rsidR="00C948FE" w:rsidP="00C948FE" w:rsidRDefault="00C948FE" w14:paraId="07FC419E" w14:textId="77777777">
      <w:pPr>
        <w:pStyle w:val="NoSpacing"/>
        <w:jc w:val="both"/>
        <w:rPr>
          <w:rFonts w:ascii="Source Sans Pro" w:hAnsi="Source Sans Pro" w:cs="Calibri"/>
          <w:color w:val="00B0F0"/>
        </w:rPr>
      </w:pPr>
    </w:p>
    <w:p w:rsidRPr="009C5C6A" w:rsidR="00C948FE" w:rsidP="00C948FE" w:rsidRDefault="00C948FE" w14:paraId="736DF10F" w14:textId="77777777">
      <w:pPr>
        <w:pStyle w:val="NoSpacing"/>
        <w:jc w:val="both"/>
        <w:rPr>
          <w:rFonts w:ascii="Source Sans Pro" w:hAnsi="Source Sans Pro" w:cs="Calibri"/>
          <w:color w:val="00B0F0"/>
        </w:rPr>
      </w:pPr>
    </w:p>
    <w:p w:rsidRPr="009C5C6A" w:rsidR="007805DC" w:rsidP="007805DC" w:rsidRDefault="007805DC" w14:paraId="1A350846" w14:textId="77777777">
      <w:pPr>
        <w:spacing w:after="120"/>
        <w:rPr>
          <w:rFonts w:ascii="Source Sans Pro" w:hAnsi="Source Sans Pro"/>
          <w:b/>
          <w:bCs/>
          <w:lang w:val="en-US"/>
        </w:rPr>
      </w:pPr>
      <w:r w:rsidRPr="009C5C6A">
        <w:rPr>
          <w:rFonts w:ascii="Source Sans Pro" w:hAnsi="Source Sans Pro" w:cstheme="minorHAnsi"/>
          <w:b/>
          <w:bCs/>
        </w:rPr>
        <w:t>Independent Auditor’s Report</w:t>
      </w:r>
    </w:p>
    <w:p w:rsidRPr="009C5C6A" w:rsidR="007805DC" w:rsidP="007805DC" w:rsidRDefault="007805DC" w14:paraId="7F8B1FA5"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7805DC" w:rsidP="007805DC" w:rsidRDefault="007805DC" w14:paraId="174A0251"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7805DC" w:rsidP="007805DC" w:rsidRDefault="007805DC" w14:paraId="0D479D31"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7805DC" w:rsidP="007805DC" w:rsidRDefault="007805DC" w14:paraId="0F662A62"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7805DC" w:rsidP="007805DC" w:rsidRDefault="007805DC" w14:paraId="5D74B350" w14:textId="560F698B">
      <w:pPr>
        <w:spacing w:after="120"/>
        <w:jc w:val="both"/>
        <w:rPr>
          <w:rFonts w:ascii="Source Sans Pro" w:hAnsi="Source Sans Pro" w:cstheme="minorHAnsi"/>
          <w:b/>
          <w:bCs/>
        </w:rPr>
      </w:pPr>
      <w:r w:rsidRPr="009C5C6A">
        <w:rPr>
          <w:rFonts w:ascii="Source Sans Pro" w:hAnsi="Source Sans Pro" w:cstheme="minorHAnsi"/>
          <w:b/>
          <w:bCs/>
        </w:rPr>
        <w:t>Opinion</w:t>
      </w:r>
      <w:r w:rsidR="006C11D3">
        <w:rPr>
          <w:rFonts w:ascii="Source Sans Pro" w:hAnsi="Source Sans Pro" w:cstheme="minorHAnsi"/>
          <w:b/>
          <w:bCs/>
        </w:rPr>
        <w:tab/>
      </w:r>
    </w:p>
    <w:p w:rsidRPr="009C5C6A" w:rsidR="007805DC" w:rsidP="007805DC" w:rsidRDefault="007805DC" w14:paraId="610FE95D" w14:textId="019A3625">
      <w:pPr>
        <w:pStyle w:val="ListParagraph"/>
        <w:numPr>
          <w:ilvl w:val="0"/>
          <w:numId w:val="20"/>
        </w:numPr>
        <w:spacing w:after="120"/>
        <w:ind w:left="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w:t>
      </w:r>
      <w:r w:rsidRPr="009C5C6A" w:rsidR="00C158BD">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w:t>
      </w:r>
      <w:r w:rsidRPr="009C5C6A" w:rsidR="00C158BD">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C158BD">
        <w:rPr>
          <w:rFonts w:ascii="Source Sans Pro" w:hAnsi="Source Sans Pro" w:cstheme="minorHAnsi"/>
        </w:rPr>
        <w:t>Standalone Statement</w:t>
      </w:r>
      <w:r w:rsidRPr="009C5C6A">
        <w:rPr>
          <w:rFonts w:ascii="Source Sans Pro" w:hAnsi="Source Sans Pro" w:cstheme="minorHAnsi"/>
        </w:rPr>
        <w:t xml:space="preserve"> of </w:t>
      </w:r>
      <w:r w:rsidRPr="009C5C6A" w:rsidR="00C158BD">
        <w:rPr>
          <w:rFonts w:ascii="Source Sans Pro" w:hAnsi="Source Sans Pro" w:cstheme="minorHAnsi"/>
        </w:rPr>
        <w:t xml:space="preserve">Profit </w:t>
      </w:r>
      <w:r w:rsidRPr="009C5C6A">
        <w:rPr>
          <w:rFonts w:ascii="Source Sans Pro" w:hAnsi="Source Sans Pro" w:cstheme="minorHAnsi"/>
        </w:rPr>
        <w:t xml:space="preserve">and </w:t>
      </w:r>
      <w:r w:rsidRPr="009C5C6A" w:rsidR="00C158BD">
        <w:rPr>
          <w:rFonts w:ascii="Source Sans Pro" w:hAnsi="Source Sans Pro" w:cstheme="minorHAnsi"/>
        </w:rPr>
        <w:t>Loss</w:t>
      </w:r>
      <w:r w:rsidR="00544479">
        <w:rPr>
          <w:rFonts w:ascii="Source Sans Pro" w:hAnsi="Source Sans Pro" w:cstheme="minorHAnsi"/>
        </w:rPr>
        <w:t xml:space="preserve"> </w:t>
      </w:r>
      <w:r w:rsidRPr="00C35097" w:rsidR="00544479">
        <w:rPr>
          <w:rFonts w:ascii="Source Sans Pro" w:hAnsi="Source Sans Pro" w:cstheme="minorHAnsi"/>
          <w:color w:val="00B0F0"/>
        </w:rPr>
        <w:t>(including Other Comprehensive Income)</w:t>
      </w:r>
      <w:r w:rsidR="00C35097">
        <w:rPr>
          <w:rFonts w:ascii="Source Sans Pro" w:hAnsi="Source Sans Pro" w:cstheme="minorHAnsi"/>
        </w:rPr>
        <w:t xml:space="preserve">, Standalone Statement of Changes in Equity </w:t>
      </w:r>
      <w:r w:rsidRPr="009C5C6A">
        <w:rPr>
          <w:rFonts w:ascii="Source Sans Pro" w:hAnsi="Source Sans Pro" w:cstheme="minorHAnsi"/>
        </w:rPr>
        <w:t xml:space="preserve">and </w:t>
      </w:r>
      <w:r w:rsidRPr="009C5C6A" w:rsidR="00C158BD">
        <w:rPr>
          <w:rFonts w:ascii="Source Sans Pro" w:hAnsi="Source Sans Pro" w:cstheme="minorHAnsi"/>
        </w:rPr>
        <w:t xml:space="preserve">Standalone Statement </w:t>
      </w:r>
      <w:r w:rsidRPr="009C5C6A">
        <w:rPr>
          <w:rFonts w:ascii="Source Sans Pro" w:hAnsi="Source Sans Pro" w:cstheme="minorHAnsi"/>
        </w:rPr>
        <w:t xml:space="preserve">of </w:t>
      </w:r>
      <w:r w:rsidRPr="009C5C6A" w:rsidR="00C158BD">
        <w:rPr>
          <w:rFonts w:ascii="Source Sans Pro" w:hAnsi="Source Sans Pro" w:cstheme="minorHAnsi"/>
        </w:rPr>
        <w:t xml:space="preserve">Cash Flows </w:t>
      </w:r>
      <w:r w:rsidRPr="009C5C6A">
        <w:rPr>
          <w:rFonts w:ascii="Source Sans Pro" w:hAnsi="Source Sans Pro" w:cstheme="minorHAnsi"/>
        </w:rPr>
        <w:t>for the year ended</w:t>
      </w:r>
      <w:r w:rsidRPr="009C5C6A" w:rsidR="00C158BD">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C158BD">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FA6B90">
        <w:rPr>
          <w:rFonts w:ascii="Source Sans Pro" w:hAnsi="Source Sans Pro" w:cstheme="minorHAnsi"/>
          <w:color w:val="00B0F0"/>
        </w:rPr>
        <w:t>material accounting polic</w:t>
      </w:r>
      <w:r w:rsidR="009B17F0">
        <w:rPr>
          <w:rFonts w:ascii="Source Sans Pro" w:hAnsi="Source Sans Pro" w:cstheme="minorHAnsi"/>
          <w:color w:val="00B0F0"/>
        </w:rPr>
        <w:t xml:space="preserve">ies </w:t>
      </w:r>
      <w:r w:rsidRPr="009C5C6A" w:rsidR="00FA6B90">
        <w:rPr>
          <w:rFonts w:ascii="Source Sans Pro" w:hAnsi="Source Sans Pro" w:cstheme="minorHAnsi"/>
          <w:color w:val="00B0F0"/>
        </w:rPr>
        <w:t>/ significant accounting policies</w:t>
      </w:r>
      <w:r w:rsidRPr="009C5C6A" w:rsidR="00FA6B90">
        <w:rPr>
          <w:rFonts w:ascii="Source Sans Pro" w:hAnsi="Source Sans Pro" w:cstheme="minorHAnsi"/>
        </w:rPr>
        <w:t xml:space="preserve"> </w:t>
      </w:r>
      <w:r w:rsidRPr="009C5C6A">
        <w:rPr>
          <w:rFonts w:ascii="Source Sans Pro" w:hAnsi="Source Sans Pro" w:cstheme="minorHAnsi"/>
        </w:rPr>
        <w:t>and other explanatory information (‘the Standalone Financial Statements’).</w:t>
      </w:r>
    </w:p>
    <w:p w:rsidRPr="009C5C6A" w:rsidR="00FA6B90" w:rsidP="00FB3BE6" w:rsidRDefault="00FA6B90" w14:paraId="6E4F116F" w14:textId="6834601C">
      <w:pPr>
        <w:spacing w:after="120"/>
        <w:ind w:left="426"/>
        <w:jc w:val="both"/>
        <w:rPr>
          <w:rFonts w:ascii="Source Sans Pro" w:hAnsi="Source Sans Pro" w:cstheme="minorHAnsi"/>
        </w:rPr>
      </w:pPr>
      <w:r w:rsidRPr="009C5C6A">
        <w:rPr>
          <w:rFonts w:ascii="Source Sans Pro" w:hAnsi="Source Sans Pro" w:cstheme="minorHAnsi"/>
          <w:color w:val="4EA72E" w:themeColor="accent6"/>
        </w:rPr>
        <w:t>[Use ‘material accounting policy information’ where financial statements have been prepared in accordance with Ind AS and ‘significant accounting policies’ where financial statements have been prepared in accordance with AS]</w:t>
      </w:r>
    </w:p>
    <w:p w:rsidRPr="009C5C6A" w:rsidR="007805DC" w:rsidP="007805DC" w:rsidRDefault="007805DC" w14:paraId="3A7884CE" w14:textId="657C133C">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In our opinion and to the best of our information and according to the explanations given to us, the aforesaid Standalone Financial Statements give the information required by the Companies Act, 2013 (‘Act’) in the manner so required and give a true and fair view in conformity </w:t>
      </w:r>
      <w:r w:rsidRPr="009C5C6A" w:rsidR="007D1B63">
        <w:rPr>
          <w:rFonts w:ascii="Source Sans Pro" w:hAnsi="Source Sans Pro" w:cstheme="minorHAnsi"/>
          <w:color w:val="00B0F0"/>
        </w:rPr>
        <w:t>with the Indian Accounting Standards prescribed under section 133 of the Act read with the Companies (Indian Accounting Standards) Rules, 2015, as amended, (‘Ind AS’) / with the Accounting Standards prescribed under section 133 of the Act read with the Companies (Accounting Standards) Rules, 2021, as amended, (‘AS’)</w:t>
      </w:r>
      <w:r w:rsidRPr="009C5C6A" w:rsidR="007D1B63">
        <w:rPr>
          <w:rFonts w:ascii="Source Sans Pro" w:hAnsi="Source Sans Pro"/>
        </w:rPr>
        <w:t xml:space="preserve"> </w:t>
      </w:r>
      <w:r w:rsidRPr="009C5C6A" w:rsidR="00C158BD">
        <w:rPr>
          <w:rFonts w:ascii="Source Sans Pro" w:hAnsi="Source Sans Pro" w:cstheme="minorHAnsi"/>
        </w:rPr>
        <w:t xml:space="preserve">and other </w:t>
      </w:r>
      <w:r w:rsidRPr="009C5C6A">
        <w:rPr>
          <w:rFonts w:ascii="Source Sans Pro" w:hAnsi="Source Sans Pro" w:cstheme="minorHAnsi"/>
        </w:rPr>
        <w:t xml:space="preserve">accounting principles generally accepted in India, of the </w:t>
      </w:r>
      <w:r w:rsidRPr="009C5C6A" w:rsidR="00C158BD">
        <w:rPr>
          <w:rFonts w:ascii="Source Sans Pro" w:hAnsi="Source Sans Pro" w:cstheme="minorHAnsi"/>
        </w:rPr>
        <w:t>State</w:t>
      </w:r>
      <w:r w:rsidRPr="009C5C6A">
        <w:rPr>
          <w:rFonts w:ascii="Source Sans Pro" w:hAnsi="Source Sans Pro" w:cstheme="minorHAnsi"/>
        </w:rPr>
        <w:t xml:space="preserve"> of </w:t>
      </w:r>
      <w:r w:rsidRPr="009C5C6A" w:rsidR="00C158BD">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 and its [</w:t>
      </w:r>
      <w:r w:rsidRPr="009C5C6A" w:rsidR="00C158BD">
        <w:rPr>
          <w:rFonts w:ascii="Source Sans Pro" w:hAnsi="Source Sans Pro" w:cstheme="minorHAnsi"/>
          <w:color w:val="00B0F0"/>
        </w:rPr>
        <w:t>Profit/Loss</w:t>
      </w:r>
      <w:r w:rsidRPr="009C5C6A">
        <w:rPr>
          <w:rFonts w:ascii="Source Sans Pro" w:hAnsi="Source Sans Pro" w:cstheme="minorHAnsi"/>
        </w:rPr>
        <w:t>]</w:t>
      </w:r>
      <w:r w:rsidR="00C35097">
        <w:rPr>
          <w:rFonts w:ascii="Source Sans Pro" w:hAnsi="Source Sans Pro" w:cstheme="minorHAnsi"/>
        </w:rPr>
        <w:t xml:space="preserve"> and </w:t>
      </w:r>
      <w:r w:rsidRPr="00C35097" w:rsidR="00C35097">
        <w:rPr>
          <w:rFonts w:ascii="Source Sans Pro" w:hAnsi="Source Sans Pro" w:cstheme="minorHAnsi"/>
          <w:color w:val="00B0F0"/>
        </w:rPr>
        <w:t xml:space="preserve">Other Comprehensive </w:t>
      </w:r>
      <w:r w:rsidRPr="00D52EA7" w:rsidR="00D52EA7">
        <w:rPr>
          <w:rFonts w:ascii="Source Sans Pro" w:hAnsi="Source Sans Pro" w:cstheme="minorHAnsi"/>
        </w:rPr>
        <w:t>[</w:t>
      </w:r>
      <w:r w:rsidRPr="00C35097" w:rsidR="00C35097">
        <w:rPr>
          <w:rFonts w:ascii="Source Sans Pro" w:hAnsi="Source Sans Pro" w:cstheme="minorHAnsi"/>
          <w:color w:val="00B0F0"/>
        </w:rPr>
        <w:t>Income</w:t>
      </w:r>
      <w:r w:rsidR="00D52EA7">
        <w:rPr>
          <w:rFonts w:ascii="Source Sans Pro" w:hAnsi="Source Sans Pro" w:cstheme="minorHAnsi"/>
          <w:color w:val="00B0F0"/>
        </w:rPr>
        <w:t>/Loss</w:t>
      </w:r>
      <w:r w:rsidRPr="00D52EA7" w:rsidR="00D52EA7">
        <w:rPr>
          <w:rFonts w:ascii="Source Sans Pro" w:hAnsi="Source Sans Pro" w:cstheme="minorHAnsi"/>
        </w:rPr>
        <w:t>]</w:t>
      </w:r>
      <w:r w:rsidR="00C35097">
        <w:rPr>
          <w:rFonts w:ascii="Source Sans Pro" w:hAnsi="Source Sans Pro" w:cstheme="minorHAnsi"/>
          <w:color w:val="00B0F0"/>
        </w:rPr>
        <w:t xml:space="preserve">, </w:t>
      </w:r>
      <w:r w:rsidRPr="00C35097" w:rsidR="00C35097">
        <w:rPr>
          <w:rFonts w:ascii="Source Sans Pro" w:hAnsi="Source Sans Pro" w:cstheme="minorHAnsi"/>
        </w:rPr>
        <w:t>Changes in Equity</w:t>
      </w:r>
      <w:r w:rsidR="009D3C64">
        <w:rPr>
          <w:rFonts w:ascii="Source Sans Pro" w:hAnsi="Source Sans Pro" w:cstheme="minorHAnsi"/>
        </w:rPr>
        <w:t xml:space="preserve"> and</w:t>
      </w:r>
      <w:r w:rsidRPr="009C5C6A" w:rsidR="00C35097">
        <w:rPr>
          <w:rFonts w:ascii="Source Sans Pro" w:hAnsi="Source Sans Pro" w:cstheme="minorHAnsi"/>
        </w:rPr>
        <w:t xml:space="preserve"> </w:t>
      </w:r>
      <w:r w:rsidRPr="009C5C6A">
        <w:rPr>
          <w:rFonts w:ascii="Source Sans Pro" w:hAnsi="Source Sans Pro" w:cstheme="minorHAnsi"/>
        </w:rPr>
        <w:t xml:space="preserve">its </w:t>
      </w:r>
      <w:r w:rsidRPr="009C5C6A" w:rsidR="00C158BD">
        <w:rPr>
          <w:rFonts w:ascii="Source Sans Pro" w:hAnsi="Source Sans Pro" w:cstheme="minorHAnsi"/>
        </w:rPr>
        <w:t xml:space="preserve">Cash Flows </w:t>
      </w:r>
      <w:r w:rsidRPr="009C5C6A">
        <w:rPr>
          <w:rFonts w:ascii="Source Sans Pro" w:hAnsi="Source Sans Pro" w:cstheme="minorHAnsi"/>
        </w:rPr>
        <w:t>for the year ended</w:t>
      </w:r>
      <w:r w:rsidRPr="009C5C6A" w:rsidR="00C158BD">
        <w:rPr>
          <w:rFonts w:ascii="Source Sans Pro" w:hAnsi="Source Sans Pro" w:cstheme="minorHAnsi"/>
        </w:rPr>
        <w:t xml:space="preserve"> on that date</w:t>
      </w:r>
      <w:r w:rsidRPr="009C5C6A">
        <w:rPr>
          <w:rFonts w:ascii="Source Sans Pro" w:hAnsi="Source Sans Pro" w:cstheme="minorHAnsi"/>
        </w:rPr>
        <w:t>.</w:t>
      </w:r>
    </w:p>
    <w:p w:rsidRPr="009C5C6A" w:rsidR="007805DC" w:rsidP="007805DC" w:rsidRDefault="007805DC" w14:paraId="3C8B9B84"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7805DC" w:rsidP="007805DC" w:rsidRDefault="007805DC" w14:paraId="52D9F822" w14:textId="77777777">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specified under section 143(10) of the Act. Our responsibilities under those SAs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7805DC" w:rsidP="007805DC" w:rsidRDefault="007805DC" w14:paraId="0F1120BF"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7805DC" w:rsidP="007805DC" w:rsidRDefault="007805DC" w14:paraId="1F22048C" w14:textId="77777777">
      <w:pPr>
        <w:pStyle w:val="ListParagraph"/>
        <w:numPr>
          <w:ilvl w:val="0"/>
          <w:numId w:val="20"/>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7805DC" w:rsidP="007805DC" w:rsidRDefault="007805DC" w14:paraId="77153B6F"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7805DC" w:rsidP="77D9303F" w:rsidRDefault="007805DC" w14:paraId="4FE8C4BB" w14:textId="105A943F">
      <w:pPr>
        <w:pStyle w:val="ListParagraph"/>
        <w:numPr>
          <w:ilvl w:val="0"/>
          <w:numId w:val="20"/>
        </w:numPr>
        <w:spacing w:after="120"/>
        <w:ind w:left="426" w:hanging="426"/>
        <w:jc w:val="both"/>
        <w:rPr>
          <w:rFonts w:ascii="Source Sans Pro" w:hAnsi="Source Sans Pro"/>
        </w:rPr>
      </w:pPr>
      <w:r w:rsidRPr="1A248B2B">
        <w:rPr>
          <w:rFonts w:ascii="Source Sans Pro" w:hAnsi="Source Sans Pro"/>
        </w:rPr>
        <w:t>The</w:t>
      </w:r>
      <w:r w:rsidRPr="1A248B2B">
        <w:rPr>
          <w:rFonts w:ascii="Source Sans Pro" w:hAnsi="Source Sans Pro"/>
          <w:color w:val="000000" w:themeColor="text1"/>
        </w:rPr>
        <w:t xml:space="preserve"> Company’s Board of Directors </w:t>
      </w:r>
      <w:r w:rsidRPr="1A248B2B">
        <w:rPr>
          <w:rFonts w:ascii="Source Sans Pro" w:hAnsi="Source Sans Pro"/>
        </w:rPr>
        <w:t xml:space="preserve">are </w:t>
      </w:r>
      <w:r w:rsidRPr="1A248B2B">
        <w:rPr>
          <w:rFonts w:ascii="Source Sans Pro" w:hAnsi="Source Sans Pro"/>
          <w:color w:val="000000" w:themeColor="text1"/>
        </w:rPr>
        <w:t xml:space="preserve">responsible for the other information. The other information comprises </w:t>
      </w:r>
      <w:r w:rsidRPr="1A248B2B">
        <w:rPr>
          <w:rFonts w:ascii="Source Sans Pro" w:hAnsi="Source Sans Pro"/>
        </w:rPr>
        <w:t xml:space="preserve">the information included in the Company’s </w:t>
      </w:r>
      <w:r w:rsidRPr="1A248B2B">
        <w:rPr>
          <w:rFonts w:ascii="Source Sans Pro" w:hAnsi="Source Sans Pro"/>
          <w:color w:val="00B0F0"/>
        </w:rPr>
        <w:t xml:space="preserve">annual report/the management report and </w:t>
      </w:r>
      <w:r w:rsidRPr="1A248B2B">
        <w:rPr>
          <w:rFonts w:ascii="Source Sans Pro" w:hAnsi="Source Sans Pro"/>
          <w:color w:val="00B0F0"/>
        </w:rPr>
        <w:lastRenderedPageBreak/>
        <w:t>chairman’s statement</w:t>
      </w:r>
      <w:r w:rsidRPr="1A248B2B">
        <w:rPr>
          <w:rFonts w:ascii="Source Sans Pro" w:hAnsi="Source Sans Pro"/>
        </w:rPr>
        <w:t xml:space="preserve"> but does not include the Standalone Financial Statements and our auditors’ report thereon. </w:t>
      </w:r>
    </w:p>
    <w:p w:rsidR="1A248B2B" w:rsidP="1A248B2B" w:rsidRDefault="1A248B2B" w14:paraId="5D4764A2" w14:textId="18307583">
      <w:pPr>
        <w:pStyle w:val="ListParagraph"/>
        <w:spacing w:after="120"/>
        <w:ind w:left="426" w:hanging="426"/>
        <w:jc w:val="both"/>
        <w:rPr>
          <w:rFonts w:ascii="Source Sans Pro" w:hAnsi="Source Sans Pro"/>
        </w:rPr>
      </w:pPr>
    </w:p>
    <w:p w:rsidR="007805DC" w:rsidP="1A248B2B" w:rsidRDefault="007805DC" w14:paraId="5B845233" w14:textId="3E6EB3F6">
      <w:pPr>
        <w:pStyle w:val="ListParagraph"/>
        <w:numPr>
          <w:ilvl w:val="0"/>
          <w:numId w:val="20"/>
        </w:numPr>
        <w:spacing w:after="120"/>
        <w:ind w:left="426" w:hanging="426"/>
        <w:jc w:val="both"/>
        <w:rPr>
          <w:rFonts w:ascii="Source Sans Pro" w:hAnsi="Source Sans Pro"/>
        </w:rPr>
      </w:pPr>
      <w:r w:rsidRPr="1A248B2B">
        <w:rPr>
          <w:rFonts w:ascii="Source Sans Pro" w:hAnsi="Source Sans Pro"/>
        </w:rPr>
        <w:t>Our opinion on the Standalone Financial Statements does not cover the other information and we do not express any form of assurance conclusion thereon.</w:t>
      </w:r>
    </w:p>
    <w:p w:rsidR="1A248B2B" w:rsidP="1A248B2B" w:rsidRDefault="1A248B2B" w14:paraId="494BB857" w14:textId="0F74DDD5">
      <w:pPr>
        <w:pStyle w:val="ListParagraph"/>
        <w:spacing w:after="120"/>
        <w:ind w:left="426" w:hanging="426"/>
        <w:jc w:val="both"/>
        <w:rPr>
          <w:rFonts w:ascii="Source Sans Pro" w:hAnsi="Source Sans Pro"/>
        </w:rPr>
      </w:pPr>
    </w:p>
    <w:p w:rsidR="77D9303F" w:rsidP="1A248B2B" w:rsidRDefault="007805DC" w14:paraId="19221106" w14:textId="6C56D311">
      <w:pPr>
        <w:pStyle w:val="ListParagraph"/>
        <w:numPr>
          <w:ilvl w:val="0"/>
          <w:numId w:val="20"/>
        </w:numPr>
        <w:ind w:left="426" w:hanging="426"/>
        <w:jc w:val="both"/>
        <w:rPr>
          <w:rFonts w:ascii="Source Sans Pro" w:hAnsi="Source Sans Pro"/>
        </w:rPr>
      </w:pPr>
      <w:r w:rsidRPr="1A248B2B">
        <w:rPr>
          <w:rFonts w:ascii="Source Sans Pro" w:hAnsi="Source Sans Pro"/>
        </w:rPr>
        <w:t xml:space="preserve">In connection with our audit of the Standalone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 </w:t>
      </w:r>
      <w:r w:rsidRPr="1A248B2B" w:rsidR="0C0C9C43">
        <w:rPr>
          <w:rFonts w:eastAsiaTheme="minorEastAsia"/>
          <w:color w:val="00B0F0"/>
        </w:rPr>
        <w:t>If, based on the work we have performed, we conclude that there is a material misstatement of this other information, we are required to report that fact. We have nothing to report in this regard.</w:t>
      </w:r>
      <w:r w:rsidRPr="1A248B2B" w:rsidR="0E38E7F8">
        <w:rPr>
          <w:rFonts w:eastAsiaTheme="minorEastAsia"/>
          <w:color w:val="00B0F0"/>
        </w:rPr>
        <w:t xml:space="preserve"> </w:t>
      </w:r>
      <w:r w:rsidRPr="1A248B2B" w:rsidR="0E38E7F8">
        <w:rPr>
          <w:rFonts w:ascii="Source Sans Pro" w:hAnsi="Source Sans Pro"/>
          <w:color w:val="4EA72E" w:themeColor="accent6"/>
        </w:rPr>
        <w:t>[To be removed in case data not received]</w:t>
      </w:r>
    </w:p>
    <w:p w:rsidR="1A248B2B" w:rsidP="1A248B2B" w:rsidRDefault="1A248B2B" w14:paraId="55ADA947" w14:textId="7FA98406">
      <w:pPr>
        <w:pStyle w:val="ListParagraph"/>
        <w:ind w:left="426" w:hanging="426"/>
        <w:jc w:val="both"/>
        <w:rPr>
          <w:rFonts w:ascii="Source Sans Pro" w:hAnsi="Source Sans Pro"/>
        </w:rPr>
      </w:pPr>
    </w:p>
    <w:p w:rsidRPr="009C5C6A" w:rsidR="00C158BD" w:rsidP="1A248B2B" w:rsidRDefault="0B25571C" w14:paraId="4F92D7FD" w14:textId="08EC7FC0">
      <w:pPr>
        <w:pStyle w:val="ListParagraph"/>
        <w:numPr>
          <w:ilvl w:val="0"/>
          <w:numId w:val="20"/>
        </w:numPr>
        <w:ind w:left="426" w:hanging="426"/>
        <w:jc w:val="both"/>
        <w:rPr>
          <w:rFonts w:ascii="Source Sans Pro" w:hAnsi="Source Sans Pro"/>
        </w:rPr>
      </w:pPr>
      <w:r w:rsidRPr="1A248B2B">
        <w:rPr>
          <w:rFonts w:ascii="Source Sans Pro" w:hAnsi="Source Sans Pro" w:eastAsia="Source Sans Pro" w:cs="Source Sans Pro"/>
        </w:rPr>
        <w:t xml:space="preserve">The </w:t>
      </w:r>
      <w:r w:rsidRPr="1A248B2B">
        <w:rPr>
          <w:rFonts w:ascii="Source Sans Pro" w:hAnsi="Source Sans Pro"/>
        </w:rPr>
        <w:t xml:space="preserve">Company’s </w:t>
      </w:r>
      <w:r w:rsidRPr="1A248B2B">
        <w:rPr>
          <w:rFonts w:ascii="Source Sans Pro" w:hAnsi="Source Sans Pro"/>
          <w:color w:val="00B0F0"/>
        </w:rPr>
        <w:t>annual report/the management report and chairman’s statement</w:t>
      </w:r>
      <w:r w:rsidRPr="1A248B2B">
        <w:rPr>
          <w:rFonts w:ascii="Source Sans Pro" w:hAnsi="Source Sans Pro" w:eastAsia="Source Sans Pro" w:cs="Source Sans Pro"/>
        </w:rPr>
        <w:t xml:space="preserve"> </w:t>
      </w:r>
      <w:bookmarkStart w:name="_Int_HlE6wKJC" w:id="3"/>
      <w:r w:rsidRPr="1A248B2B">
        <w:rPr>
          <w:rFonts w:ascii="Source Sans Pro" w:hAnsi="Source Sans Pro" w:eastAsia="Source Sans Pro" w:cs="Source Sans Pro"/>
        </w:rPr>
        <w:t>is</w:t>
      </w:r>
      <w:bookmarkEnd w:id="3"/>
      <w:r w:rsidRPr="1A248B2B">
        <w:rPr>
          <w:rFonts w:ascii="Source Sans Pro" w:hAnsi="Source Sans Pro" w:eastAsia="Source Sans Pro" w:cs="Source Sans Pro"/>
        </w:rPr>
        <w:t xml:space="preserve"> not made available to us as at the date of this auditor's report. We have nothing to report in this regard.</w:t>
      </w:r>
      <w:r w:rsidRPr="1A248B2B" w:rsidR="0063008E">
        <w:rPr>
          <w:rFonts w:ascii="Source Sans Pro" w:hAnsi="Source Sans Pro" w:eastAsia="Source Sans Pro" w:cs="Source Sans Pro"/>
        </w:rPr>
        <w:t xml:space="preserve"> </w:t>
      </w:r>
      <w:r w:rsidRPr="1A248B2B" w:rsidR="0063008E">
        <w:rPr>
          <w:rFonts w:ascii="Source Sans Pro" w:hAnsi="Source Sans Pro"/>
          <w:color w:val="4EA72E" w:themeColor="accent6"/>
        </w:rPr>
        <w:t>[To be added in case data not received]</w:t>
      </w:r>
    </w:p>
    <w:p w:rsidRPr="009C5C6A" w:rsidR="007805DC" w:rsidP="007805DC" w:rsidRDefault="007805DC" w14:paraId="79E62F69"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7805DC" w:rsidP="007805DC" w:rsidRDefault="007805DC" w14:paraId="0EB5C47C" w14:textId="6F86FE23">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Company’s Board of Directors is responsible for the matters stated in section 134(5) of the Act, with respect to the preparation of these Standalone Financial Statements that give a true and fair view of the </w:t>
      </w:r>
      <w:r w:rsidRPr="009C5C6A" w:rsidR="00C158BD">
        <w:rPr>
          <w:rFonts w:ascii="Source Sans Pro" w:hAnsi="Source Sans Pro" w:cstheme="minorHAnsi"/>
        </w:rPr>
        <w:t>State</w:t>
      </w:r>
      <w:r w:rsidRPr="009C5C6A">
        <w:rPr>
          <w:rFonts w:ascii="Source Sans Pro" w:hAnsi="Source Sans Pro" w:cstheme="minorHAnsi"/>
        </w:rPr>
        <w:t xml:space="preserve"> of </w:t>
      </w:r>
      <w:r w:rsidRPr="009C5C6A" w:rsidR="00C158BD">
        <w:rPr>
          <w:rFonts w:ascii="Source Sans Pro" w:hAnsi="Source Sans Pro" w:cstheme="minorHAnsi"/>
        </w:rPr>
        <w:t>Affairs</w:t>
      </w:r>
      <w:r w:rsidRPr="009C5C6A">
        <w:rPr>
          <w:rFonts w:ascii="Source Sans Pro" w:hAnsi="Source Sans Pro" w:cstheme="minorHAnsi"/>
        </w:rPr>
        <w:t xml:space="preserve">, </w:t>
      </w:r>
      <w:r w:rsidRPr="00220FA1">
        <w:rPr>
          <w:rFonts w:ascii="Source Sans Pro" w:hAnsi="Source Sans Pro" w:cstheme="minorHAnsi"/>
          <w:color w:val="00B0F0"/>
        </w:rPr>
        <w:t>[</w:t>
      </w:r>
      <w:r w:rsidRPr="00220FA1" w:rsidR="00C158BD">
        <w:rPr>
          <w:rFonts w:ascii="Source Sans Pro" w:hAnsi="Source Sans Pro" w:cstheme="minorHAnsi"/>
          <w:color w:val="00B0F0"/>
        </w:rPr>
        <w:t>Profit/Loss</w:t>
      </w:r>
      <w:r w:rsidRPr="00220FA1">
        <w:rPr>
          <w:rFonts w:ascii="Source Sans Pro" w:hAnsi="Source Sans Pro" w:cstheme="minorHAnsi"/>
          <w:color w:val="00B0F0"/>
        </w:rPr>
        <w:t>]</w:t>
      </w:r>
      <w:r w:rsidR="00220FA1">
        <w:rPr>
          <w:rFonts w:ascii="Source Sans Pro" w:hAnsi="Source Sans Pro" w:cstheme="minorHAnsi"/>
          <w:color w:val="00B0F0"/>
        </w:rPr>
        <w:t xml:space="preserve"> and Other Comprehensive Income, </w:t>
      </w:r>
      <w:r w:rsidRPr="00220FA1" w:rsidR="00220FA1">
        <w:rPr>
          <w:rFonts w:ascii="Source Sans Pro" w:hAnsi="Source Sans Pro" w:cstheme="minorHAnsi"/>
        </w:rPr>
        <w:t>Changes in Equity</w:t>
      </w:r>
      <w:r w:rsidRPr="009C5C6A">
        <w:rPr>
          <w:rFonts w:ascii="Source Sans Pro" w:hAnsi="Source Sans Pro" w:cstheme="minorHAnsi"/>
        </w:rPr>
        <w:t xml:space="preserve"> and </w:t>
      </w:r>
      <w:r w:rsidRPr="009C5C6A" w:rsidR="00C158BD">
        <w:rPr>
          <w:rFonts w:ascii="Source Sans Pro" w:hAnsi="Source Sans Pro" w:cstheme="minorHAnsi"/>
        </w:rPr>
        <w:t xml:space="preserve">Cash Flows </w:t>
      </w:r>
      <w:r w:rsidRPr="009C5C6A">
        <w:rPr>
          <w:rFonts w:ascii="Source Sans Pro" w:hAnsi="Source Sans Pro" w:cstheme="minorHAnsi"/>
        </w:rPr>
        <w:t xml:space="preserve">of the Company in accordance with the </w:t>
      </w:r>
      <w:r w:rsidRPr="009C5C6A" w:rsidR="00C158BD">
        <w:rPr>
          <w:rFonts w:ascii="Source Sans Pro" w:hAnsi="Source Sans Pro" w:cstheme="minorHAnsi"/>
          <w:color w:val="00B0F0"/>
        </w:rPr>
        <w:t xml:space="preserve">Indian Accounting Standards prescribed under section 133 of the Act read with the Companies (Indian Accounting Standards) Rules, 2015, as amended, /Accounting Standards prescribed under section 133 of the Act read with the Companies (Accounting Standards) Rules, 2021, as amended, </w:t>
      </w:r>
      <w:r w:rsidRPr="009C5C6A" w:rsidR="00C158BD">
        <w:rPr>
          <w:rFonts w:ascii="Source Sans Pro" w:hAnsi="Source Sans Pro" w:cstheme="minorHAnsi"/>
        </w:rPr>
        <w:t>and other accounting principles generally accepted in India</w:t>
      </w:r>
      <w:r w:rsidRPr="009C5C6A">
        <w:rPr>
          <w:rFonts w:ascii="Source Sans Pro" w:hAnsi="Source Sans Pro" w:cstheme="minorHAnsi"/>
        </w:rPr>
        <w:t>. This responsibility also includes maintenance of 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cstheme="minorHAnsi"/>
        </w:rPr>
        <w:t xml:space="preserve"> </w:t>
      </w:r>
      <w:r w:rsidRPr="009C5C6A" w:rsidR="007A019E">
        <w:rPr>
          <w:rFonts w:ascii="Source Sans Pro" w:hAnsi="Source Sans Pro"/>
        </w:rPr>
        <w:t>selection of the appropriate accounting software for ensuring compliance with applicable laws and regulations including those related to retention of audit logs;</w:t>
      </w:r>
      <w:r w:rsidRPr="009C5C6A">
        <w:rPr>
          <w:rFonts w:ascii="Source Sans Pro" w:hAnsi="Source Sans Pro" w:cstheme="minorHAnsi"/>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7805DC" w:rsidP="007805DC" w:rsidRDefault="007805DC" w14:paraId="6E3F8DE7" w14:textId="77777777">
      <w:pPr>
        <w:pStyle w:val="ListParagraph"/>
        <w:numPr>
          <w:ilvl w:val="0"/>
          <w:numId w:val="20"/>
        </w:numPr>
        <w:spacing w:after="120"/>
        <w:ind w:left="426" w:hanging="426"/>
        <w:jc w:val="both"/>
        <w:rPr>
          <w:rFonts w:ascii="Source Sans Pro" w:hAnsi="Source Sans Pro"/>
        </w:rPr>
      </w:pPr>
      <w:r w:rsidRPr="009C5C6A">
        <w:rPr>
          <w:rFonts w:ascii="Source Sans Pro" w:hAnsi="Source Sans Pro"/>
        </w:rPr>
        <w:t>In preparing the Standalone Financial Statements, the Board of Directors is responsible for assessing the Company’s ability to continue as a going concern, disclosing, as applicable, matters related to going concern and using the going concern basis of accounting unless the Board of Directors either intends to liquidate the Company or to cease operations, or has no realistic alternative but to do so.</w:t>
      </w:r>
    </w:p>
    <w:p w:rsidRPr="009C5C6A" w:rsidR="00E954EC" w:rsidP="00FB3BE6" w:rsidRDefault="00E954EC" w14:paraId="68BCAD90" w14:textId="77777777">
      <w:pPr>
        <w:pStyle w:val="ListParagraph"/>
        <w:spacing w:after="120"/>
        <w:ind w:left="426"/>
        <w:jc w:val="both"/>
        <w:rPr>
          <w:rFonts w:ascii="Source Sans Pro" w:hAnsi="Source Sans Pro"/>
        </w:rPr>
      </w:pPr>
    </w:p>
    <w:p w:rsidRPr="009C5C6A" w:rsidR="007805DC" w:rsidP="007805DC" w:rsidRDefault="007805DC" w14:paraId="1733D45A" w14:textId="3E81C93C">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rPr>
        <w:t xml:space="preserve">The Board of Directors </w:t>
      </w:r>
      <w:r w:rsidRPr="009C5C6A" w:rsidR="00E954EC">
        <w:rPr>
          <w:rFonts w:ascii="Source Sans Pro" w:hAnsi="Source Sans Pro"/>
        </w:rPr>
        <w:t xml:space="preserve">is </w:t>
      </w:r>
      <w:r w:rsidRPr="009C5C6A">
        <w:rPr>
          <w:rFonts w:ascii="Source Sans Pro" w:hAnsi="Source Sans Pro"/>
        </w:rPr>
        <w:t>also responsible for overseeing the Company’s financial reporting process.</w:t>
      </w:r>
    </w:p>
    <w:p w:rsidR="00C17BF8" w:rsidP="007805DC" w:rsidRDefault="00C17BF8" w14:paraId="23B0E853" w14:textId="77777777">
      <w:pPr>
        <w:spacing w:after="120"/>
        <w:jc w:val="both"/>
        <w:rPr>
          <w:rFonts w:ascii="Source Sans Pro" w:hAnsi="Source Sans Pro" w:cstheme="minorHAnsi"/>
          <w:b/>
          <w:bCs/>
          <w:color w:val="000000" w:themeColor="text1"/>
        </w:rPr>
      </w:pPr>
    </w:p>
    <w:p w:rsidRPr="009C5C6A" w:rsidR="007805DC" w:rsidP="007805DC" w:rsidRDefault="007805DC" w14:paraId="3A6636DE" w14:textId="3451081C">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7805DC" w:rsidP="007805DC" w:rsidRDefault="007805DC" w14:paraId="7E53C8FF" w14:textId="1411D3A6">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w:t>
      </w:r>
      <w:r w:rsidRPr="009C5C6A">
        <w:rPr>
          <w:rFonts w:ascii="Source Sans Pro" w:hAnsi="Source Sans Pro"/>
          <w:color w:val="000000" w:themeColor="text1"/>
        </w:rPr>
        <w:lastRenderedPageBreak/>
        <w:t xml:space="preserve">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p>
    <w:p w:rsidRPr="009C5C6A" w:rsidR="007805DC" w:rsidP="007805DC" w:rsidRDefault="007805DC" w14:paraId="6F52E37B"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7805DC" w:rsidP="007805DC" w:rsidRDefault="007805DC" w14:paraId="59EDE7D5"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7805DC" w:rsidP="007805DC" w:rsidRDefault="007805DC" w14:paraId="16E3C3DA"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w:t>
      </w:r>
      <w:r w:rsidRPr="009C5C6A">
        <w:rPr>
          <w:rFonts w:ascii="Source Sans Pro" w:hAnsi="Source Sans Pro" w:eastAsia="Times New Roman"/>
          <w:snapToGrid w:val="0"/>
          <w:color w:val="00B0F0"/>
          <w:lang w:val="en-US"/>
        </w:rPr>
        <w:t>but not for the purpose of expressing opinion on effectiveness of the entity’s internal control]. [Under section 143(3)(</w:t>
      </w:r>
      <w:proofErr w:type="spellStart"/>
      <w:r w:rsidRPr="009C5C6A">
        <w:rPr>
          <w:rFonts w:ascii="Source Sans Pro" w:hAnsi="Source Sans Pro" w:eastAsia="Times New Roman"/>
          <w:snapToGrid w:val="0"/>
          <w:color w:val="00B0F0"/>
          <w:lang w:val="en-US"/>
        </w:rPr>
        <w:t>i</w:t>
      </w:r>
      <w:proofErr w:type="spellEnd"/>
      <w:r w:rsidRPr="009C5C6A">
        <w:rPr>
          <w:rFonts w:ascii="Source Sans Pro" w:hAnsi="Source Sans Pro" w:eastAsia="Times New Roman"/>
          <w:snapToGrid w:val="0"/>
          <w:color w:val="00B0F0"/>
          <w:lang w:val="en-US"/>
        </w:rPr>
        <w:t>) the Act, we are also responsible for expressing our opinion on whether the Company has adequate internal financial controls with reference to Standalone Financial Statements in place and the operating effectiveness of such controls.</w:t>
      </w:r>
      <w:r w:rsidRPr="009C5C6A">
        <w:rPr>
          <w:rFonts w:ascii="Source Sans Pro" w:hAnsi="Source Sans Pro" w:eastAsia="Times New Roman"/>
          <w:snapToGrid w:val="0"/>
          <w:lang w:val="en-US"/>
        </w:rPr>
        <w:t>]</w:t>
      </w:r>
    </w:p>
    <w:p w:rsidRPr="009C5C6A" w:rsidR="007805DC" w:rsidP="007805DC" w:rsidRDefault="007805DC" w14:paraId="3ADD442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Evaluate the appropriateness of accounting policies used and the reasonableness of accounting estimates and related disclosures made by the </w:t>
      </w:r>
      <w:r w:rsidRPr="009C5C6A">
        <w:rPr>
          <w:rFonts w:ascii="Source Sans Pro" w:hAnsi="Source Sans Pro"/>
        </w:rPr>
        <w:t>Management.</w:t>
      </w:r>
    </w:p>
    <w:p w:rsidRPr="009C5C6A" w:rsidR="007805DC" w:rsidP="007805DC" w:rsidRDefault="007805DC" w14:paraId="558BA03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the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7805DC" w:rsidP="007805DC" w:rsidRDefault="007805DC" w14:paraId="688D81D1"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7805DC" w:rsidP="007805DC" w:rsidRDefault="007805DC" w14:paraId="17BA1F19"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7805DC" w:rsidP="007805DC" w:rsidRDefault="007805DC" w14:paraId="5A47B256"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7805DC" w:rsidP="007805DC" w:rsidRDefault="007805DC" w14:paraId="0B91663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7805DC" w:rsidP="007805DC" w:rsidRDefault="007805DC" w14:paraId="6409E3DA" w14:textId="77777777">
      <w:pPr>
        <w:pStyle w:val="ListParagraph"/>
        <w:numPr>
          <w:ilvl w:val="0"/>
          <w:numId w:val="20"/>
        </w:numPr>
        <w:spacing w:after="120"/>
        <w:ind w:left="426" w:hanging="426"/>
        <w:jc w:val="both"/>
        <w:rPr>
          <w:rFonts w:ascii="Source Sans Pro" w:hAnsi="Source Sans Pro"/>
          <w:color w:val="00B0F0"/>
        </w:rPr>
      </w:pPr>
      <w:r w:rsidRPr="009C5C6A">
        <w:rPr>
          <w:rFonts w:ascii="Source Sans Pro" w:hAnsi="Source Sans Pro"/>
          <w:color w:val="00B0F0"/>
        </w:rPr>
        <w:t>As required by the Companies (Auditor’s Report) Order, 2020 (‘the Order’), issued by the Central Government of India in terms of sub-section (11) of section 143 of the Act, we give in the ‘Annexure A’ a statement on the matters specified in paragraphs 3 and 4 of the Order, to the extent applicable.</w:t>
      </w:r>
    </w:p>
    <w:p w:rsidRPr="009C5C6A" w:rsidR="007805DC" w:rsidP="007805DC" w:rsidRDefault="007805DC" w14:paraId="6A7706AC"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required by Section 143(3) of the Act, we report that:</w:t>
      </w:r>
    </w:p>
    <w:p w:rsidRPr="009C5C6A" w:rsidR="007805DC" w:rsidP="007805DC" w:rsidRDefault="007805DC" w14:paraId="7347E493"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We have sought and obtained all the information and explanations which to the best of our knowledge and belief were necessary for the purpose of our audit.</w:t>
      </w:r>
    </w:p>
    <w:p w:rsidRPr="0077051A" w:rsidR="007805DC" w:rsidP="007805DC" w:rsidRDefault="007805DC" w14:paraId="2818D16B" w14:textId="42A9B4CF">
      <w:pPr>
        <w:pStyle w:val="ListParagraph"/>
        <w:numPr>
          <w:ilvl w:val="1"/>
          <w:numId w:val="20"/>
        </w:numPr>
        <w:spacing w:after="120" w:line="240" w:lineRule="auto"/>
        <w:ind w:left="993" w:hanging="567"/>
        <w:contextualSpacing w:val="0"/>
        <w:jc w:val="both"/>
        <w:rPr>
          <w:rFonts w:ascii="Source Sans Pro" w:hAnsi="Source Sans Pro"/>
          <w:color w:val="00B0F0"/>
        </w:rPr>
      </w:pPr>
      <w:r w:rsidRPr="009C5C6A">
        <w:rPr>
          <w:rFonts w:ascii="Source Sans Pro" w:hAnsi="Source Sans Pro"/>
        </w:rPr>
        <w:t>In our opinion, proper books of account</w:t>
      </w:r>
      <w:r w:rsidR="0077051A">
        <w:rPr>
          <w:rFonts w:ascii="Source Sans Pro" w:hAnsi="Source Sans Pro"/>
        </w:rPr>
        <w:t>s</w:t>
      </w:r>
      <w:r w:rsidRPr="009C5C6A">
        <w:rPr>
          <w:rFonts w:ascii="Source Sans Pro" w:hAnsi="Source Sans Pro"/>
        </w:rPr>
        <w:t xml:space="preserve"> as required by law have been kept by the Company so far as it appears from our examination of those books</w:t>
      </w:r>
      <w:r w:rsidR="0077051A">
        <w:rPr>
          <w:rFonts w:ascii="Source Sans Pro" w:hAnsi="Source Sans Pro"/>
        </w:rPr>
        <w:t xml:space="preserve"> </w:t>
      </w:r>
      <w:r w:rsidRPr="0077051A" w:rsidR="0077051A">
        <w:rPr>
          <w:rFonts w:ascii="Source Sans Pro" w:hAnsi="Source Sans Pro"/>
          <w:color w:val="00B0F0"/>
        </w:rPr>
        <w:t xml:space="preserve">except for the matters stated in paragraph </w:t>
      </w:r>
      <w:r w:rsidR="00A4750D">
        <w:rPr>
          <w:rFonts w:ascii="Source Sans Pro" w:hAnsi="Source Sans Pro"/>
          <w:color w:val="00B0F0"/>
        </w:rPr>
        <w:t>[…]</w:t>
      </w:r>
      <w:r w:rsidRPr="0077051A" w:rsidR="0077051A">
        <w:rPr>
          <w:rFonts w:ascii="Source Sans Pro" w:hAnsi="Source Sans Pro"/>
          <w:color w:val="00B0F0"/>
        </w:rPr>
        <w:t xml:space="preserve"> </w:t>
      </w:r>
      <w:r w:rsidRPr="0077051A" w:rsidR="0077051A">
        <w:rPr>
          <w:rFonts w:ascii="Source Sans Pro" w:hAnsi="Source Sans Pro"/>
          <w:color w:val="00B0F0"/>
        </w:rPr>
        <w:lastRenderedPageBreak/>
        <w:t>below on reporting under Rule 11(g) of the Companies (Audit and Auditors) Rules, 2014 (as amended).</w:t>
      </w:r>
    </w:p>
    <w:p w:rsidRPr="009C5C6A" w:rsidR="007805DC" w:rsidP="007805DC" w:rsidRDefault="007805DC" w14:paraId="5B26ACA4" w14:textId="63F5A1D6">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standalone balance sheet, the standalone statement of profit and loss</w:t>
      </w:r>
      <w:r w:rsidR="00220FA1">
        <w:rPr>
          <w:rFonts w:ascii="Source Sans Pro" w:hAnsi="Source Sans Pro"/>
        </w:rPr>
        <w:t xml:space="preserve"> </w:t>
      </w:r>
      <w:r w:rsidRPr="00220FA1" w:rsidR="00220FA1">
        <w:rPr>
          <w:rFonts w:ascii="Source Sans Pro" w:hAnsi="Source Sans Pro"/>
          <w:color w:val="00B0F0"/>
        </w:rPr>
        <w:t>including other comprehensive income</w:t>
      </w:r>
      <w:r w:rsidR="00220FA1">
        <w:rPr>
          <w:rFonts w:ascii="Source Sans Pro" w:hAnsi="Source Sans Pro"/>
        </w:rPr>
        <w:t xml:space="preserve">, the statement of changes in equity </w:t>
      </w:r>
      <w:r w:rsidRPr="009C5C6A">
        <w:rPr>
          <w:rFonts w:ascii="Source Sans Pro" w:hAnsi="Source Sans Pro"/>
        </w:rPr>
        <w:t>and the standalone cash flow statement dealt with by this Report are in agreement with the books of account.</w:t>
      </w:r>
    </w:p>
    <w:p w:rsidRPr="009C5C6A" w:rsidR="007805DC" w:rsidP="007805DC" w:rsidRDefault="007805DC" w14:paraId="75BA0750" w14:textId="53A9522E">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In our opinion, the aforesaid Standalone Financial Statements comply with the </w:t>
      </w:r>
      <w:r w:rsidRPr="009C5C6A">
        <w:rPr>
          <w:rFonts w:ascii="Source Sans Pro" w:hAnsi="Source Sans Pro"/>
        </w:rPr>
        <w:t xml:space="preserve">AS specified </w:t>
      </w:r>
      <w:r w:rsidRPr="009C5C6A">
        <w:rPr>
          <w:rFonts w:ascii="Source Sans Pro" w:hAnsi="Source Sans Pro"/>
          <w:color w:val="000000" w:themeColor="text1"/>
        </w:rPr>
        <w:t>under Section 133 of the Act</w:t>
      </w:r>
      <w:r w:rsidRPr="009C5C6A" w:rsidR="00C158BD">
        <w:rPr>
          <w:rFonts w:ascii="Source Sans Pro" w:hAnsi="Source Sans Pro"/>
          <w:color w:val="000000" w:themeColor="text1"/>
        </w:rPr>
        <w:t xml:space="preserve"> read with the relevant rules thereunder</w:t>
      </w:r>
      <w:r w:rsidRPr="009C5C6A">
        <w:rPr>
          <w:rFonts w:ascii="Source Sans Pro" w:hAnsi="Source Sans Pro"/>
          <w:color w:val="000000" w:themeColor="text1"/>
        </w:rPr>
        <w:t>.</w:t>
      </w:r>
    </w:p>
    <w:p w:rsidRPr="0077051A" w:rsidR="007805DC" w:rsidP="007805DC" w:rsidRDefault="007805DC" w14:paraId="7CB76BF0" w14:textId="6628405A">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On the basis of the written representations received from the directors as on </w:t>
      </w:r>
      <w:r w:rsidRPr="00C17BF8" w:rsidR="00411A9E">
        <w:rPr>
          <w:rFonts w:ascii="Source Sans Pro" w:hAnsi="Source Sans Pro"/>
          <w:color w:val="00B0F0"/>
        </w:rPr>
        <w:t>[XX] [Month] 20XX</w:t>
      </w:r>
      <w:r w:rsidR="00C17BF8">
        <w:rPr>
          <w:rFonts w:ascii="Source Sans Pro" w:hAnsi="Source Sans Pro"/>
          <w:color w:val="000000" w:themeColor="text1"/>
        </w:rPr>
        <w:t xml:space="preserve"> </w:t>
      </w:r>
      <w:r w:rsidRPr="009C5C6A">
        <w:rPr>
          <w:rFonts w:ascii="Source Sans Pro" w:hAnsi="Source Sans Pro"/>
          <w:color w:val="000000" w:themeColor="text1"/>
        </w:rPr>
        <w:t xml:space="preserve">taken on record by the Board of Directors, none of the directors is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9C5C6A" w:rsidR="0077051A" w:rsidP="007805DC" w:rsidRDefault="0077051A" w14:paraId="60AB7532" w14:textId="2CBBE179">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091517">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091517">
        <w:rPr>
          <w:rFonts w:ascii="Source Sans Pro" w:hAnsi="Source Sans Pro"/>
          <w:color w:val="00B0F0"/>
        </w:rPr>
        <w:t xml:space="preserve"> above on reporting under Section 143(3)(b) and paragraph </w:t>
      </w:r>
      <w:r>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77051A">
        <w:rPr>
          <w:rFonts w:ascii="Source Sans Pro" w:hAnsi="Source Sans Pro"/>
          <w:color w:val="00B0F0"/>
        </w:rPr>
        <w:t>(as amended).</w:t>
      </w:r>
    </w:p>
    <w:p w:rsidRPr="009C5C6A" w:rsidR="007805DC" w:rsidP="007805DC" w:rsidRDefault="007805DC" w14:paraId="23B4DB56"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B0F0"/>
        </w:rPr>
        <w:t>[With respect to the adequacy of the internal financial controls with reference to Standalone Financial Statements of the Company and the operating effectiveness of such controls, refer to our separate Report in ‘Annexure B’.] or [Pursuant to notification G.S.R 583 (E) dated 13 June  2017, clause (</w:t>
      </w:r>
      <w:proofErr w:type="spellStart"/>
      <w:r w:rsidRPr="009C5C6A">
        <w:rPr>
          <w:rFonts w:ascii="Source Sans Pro" w:hAnsi="Source Sans Pro"/>
          <w:color w:val="00B0F0"/>
        </w:rPr>
        <w:t>i</w:t>
      </w:r>
      <w:proofErr w:type="spellEnd"/>
      <w:r w:rsidRPr="009C5C6A">
        <w:rPr>
          <w:rFonts w:ascii="Source Sans Pro" w:hAnsi="Source Sans Pro"/>
          <w:color w:val="00B0F0"/>
        </w:rPr>
        <w:t>) of section 143(3) relating to reporting on the internal financial controls over financial reporting is not applicable to the Company. We are accordingly not considering internal financial controls over financial reporting for issuing our opinion]</w:t>
      </w:r>
    </w:p>
    <w:p w:rsidRPr="009C5C6A" w:rsidR="007805DC" w:rsidP="506927FE" w:rsidRDefault="007805DC" w14:paraId="6C4F4389" w14:textId="1C4C47BD">
      <w:pPr>
        <w:pStyle w:val="ListParagraph"/>
        <w:numPr>
          <w:ilvl w:val="1"/>
          <w:numId w:val="20"/>
        </w:numPr>
        <w:spacing w:after="120" w:line="240" w:lineRule="auto"/>
        <w:ind w:left="993" w:hanging="567"/>
        <w:contextualSpacing w:val="0"/>
        <w:jc w:val="both"/>
        <w:rPr>
          <w:rFonts w:ascii="Source Sans Pro" w:hAnsi="Source Sans Pro" w:eastAsia="Times New Roman" w:cs="Aptos" w:cstheme="minorAscii"/>
          <w:snapToGrid w:val="0"/>
          <w:lang w:val="en-US"/>
        </w:rPr>
      </w:pPr>
      <w:r w:rsidRPr="506927FE" w:rsidR="506927FE">
        <w:rPr>
          <w:rFonts w:ascii="Source Sans Pro" w:hAnsi="Source Sans Pro"/>
          <w:color w:val="00B0F0"/>
        </w:rPr>
        <w:t xml:space="preserve">[In our opinion and according to the information and explanations given to us, the </w:t>
      </w:r>
      <w:r w:rsidRPr="506927FE" w:rsidR="506927FE">
        <w:rPr>
          <w:rFonts w:ascii="Source Sans Pro" w:hAnsi="Source Sans Pro"/>
          <w:color w:val="00B0F0"/>
        </w:rPr>
        <w:t>remuneration</w:t>
      </w:r>
      <w:r w:rsidRPr="506927FE" w:rsidR="506927FE">
        <w:rPr>
          <w:rFonts w:ascii="Source Sans Pro" w:hAnsi="Source Sans Pro"/>
          <w:color w:val="00B0F0"/>
        </w:rPr>
        <w:t xml:space="preserve"> paid by the Company to its directors during the current year is </w:t>
      </w:r>
      <w:r w:rsidRPr="506927FE" w:rsidR="506927FE">
        <w:rPr>
          <w:rFonts w:ascii="Source Sans Pro" w:hAnsi="Source Sans Pro"/>
          <w:color w:val="00B0F0"/>
        </w:rPr>
        <w:t>in accordance with</w:t>
      </w:r>
      <w:r w:rsidRPr="506927FE" w:rsidR="506927FE">
        <w:rPr>
          <w:rFonts w:ascii="Source Sans Pro" w:hAnsi="Source Sans Pro"/>
          <w:color w:val="00B0F0"/>
        </w:rPr>
        <w:t xml:space="preserve"> the provisions of Section 197 of the Act. The remuneration paid to any director is not in excess of the limit laid down under Section 197 of the Act.] or [In our opinion and to the best of our information and according to the explanation given to us, the Company being a private limited company, provisions of section 197 of the Act are not applicable.]</w:t>
      </w:r>
    </w:p>
    <w:p w:rsidRPr="009C5C6A" w:rsidR="007805DC" w:rsidP="007805DC" w:rsidRDefault="007805DC" w14:paraId="37DEE20B" w14:textId="26DEEC43">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4C6412">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7805DC" w:rsidP="007805DC" w:rsidRDefault="007805DC" w14:paraId="7C92A2D3" w14:textId="534A15C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The Company has disclosed the impact of pending litigations as at </w:t>
      </w:r>
      <w:r w:rsidR="00952A10">
        <w:rPr>
          <w:rFonts w:ascii="Source Sans Pro" w:hAnsi="Source Sans Pro" w:eastAsia="Times New Roman"/>
          <w:snapToGrid w:val="0"/>
          <w:lang w:val="en-US"/>
        </w:rPr>
        <w:t>31 March 2026</w:t>
      </w:r>
      <w:r w:rsidRPr="009C5C6A">
        <w:rPr>
          <w:rFonts w:ascii="Source Sans Pro" w:hAnsi="Source Sans Pro" w:eastAsia="Times New Roman"/>
          <w:snapToGrid w:val="0"/>
          <w:lang w:val="en-US"/>
        </w:rPr>
        <w:t xml:space="preserve"> on its financial position in its Standalone Financial Statements – Refer Note […] to the Standalone Financial Statements; [</w:t>
      </w:r>
      <w:r w:rsidRPr="009C5C6A">
        <w:rPr>
          <w:rFonts w:ascii="Source Sans Pro" w:hAnsi="Source Sans Pro" w:eastAsia="Times New Roman"/>
          <w:snapToGrid w:val="0"/>
          <w:color w:val="00B0F0"/>
          <w:lang w:val="en-US"/>
        </w:rPr>
        <w:t>or the Company does not have any pending litigations which would impact its financial position</w:t>
      </w:r>
      <w:r w:rsidRPr="009C5C6A">
        <w:rPr>
          <w:rFonts w:ascii="Source Sans Pro" w:hAnsi="Source Sans Pro" w:eastAsia="Times New Roman"/>
          <w:snapToGrid w:val="0"/>
          <w:lang w:val="en-US"/>
        </w:rPr>
        <w:t>]</w:t>
      </w:r>
    </w:p>
    <w:p w:rsidRPr="009C5C6A" w:rsidR="007805DC" w:rsidP="007805DC" w:rsidRDefault="007805DC" w14:paraId="207D68E6"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The Company has made provision, as required under the applicable law or </w:t>
      </w:r>
      <w:r w:rsidRPr="009C5C6A">
        <w:rPr>
          <w:rFonts w:ascii="Source Sans Pro" w:hAnsi="Source Sans Pro"/>
        </w:rPr>
        <w:t xml:space="preserve">AS, </w:t>
      </w:r>
      <w:r w:rsidRPr="009C5C6A">
        <w:rPr>
          <w:rFonts w:ascii="Source Sans Pro" w:hAnsi="Source Sans Pro"/>
          <w:color w:val="000000" w:themeColor="text1"/>
        </w:rPr>
        <w:t>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xml:space="preserve">] to </w:t>
      </w:r>
      <w:r w:rsidRPr="009C5C6A">
        <w:rPr>
          <w:rFonts w:ascii="Source Sans Pro" w:hAnsi="Source Sans Pro"/>
        </w:rPr>
        <w:t xml:space="preserve">the Standalone Financial </w:t>
      </w:r>
      <w:r w:rsidRPr="009C5C6A">
        <w:rPr>
          <w:rFonts w:ascii="Source Sans Pro" w:hAnsi="Source Sans Pro"/>
          <w:color w:val="000000" w:themeColor="text1"/>
        </w:rPr>
        <w:t>Statements; [</w:t>
      </w:r>
      <w:r w:rsidRPr="009C5C6A">
        <w:rPr>
          <w:rFonts w:ascii="Source Sans Pro" w:hAnsi="Source Sans Pro"/>
          <w:color w:val="00B0F0"/>
        </w:rPr>
        <w:t>or the Company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7805DC" w:rsidP="007805DC" w:rsidRDefault="007805DC" w14:paraId="062DF6EE"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There has been no delay in transferring amounts, required to be transferred, to the Investor Education and Protection Fund by the Company. [</w:t>
      </w:r>
      <w:r w:rsidRPr="009C5C6A">
        <w:rPr>
          <w:rFonts w:ascii="Source Sans Pro" w:hAnsi="Source Sans Pro"/>
          <w:color w:val="00B0F0"/>
        </w:rPr>
        <w:t>or, Following are the instances of delay in transferring amounts,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 xml:space="preserve"> </w:t>
      </w:r>
      <w:r w:rsidRPr="009C5C6A">
        <w:rPr>
          <w:rFonts w:ascii="Source Sans Pro" w:hAnsi="Source Sans Pro"/>
          <w:color w:val="000000" w:themeColor="text1"/>
        </w:rPr>
        <w:t>[</w:t>
      </w:r>
      <w:r w:rsidRPr="009C5C6A">
        <w:rPr>
          <w:rFonts w:ascii="Source Sans Pro" w:hAnsi="Source Sans Pro"/>
          <w:color w:val="00B0F0"/>
        </w:rPr>
        <w:t>or, There were no amounts which were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w:t>
      </w:r>
    </w:p>
    <w:p w:rsidRPr="009C5C6A" w:rsidR="007805DC" w:rsidP="007805DC" w:rsidRDefault="007805DC" w14:paraId="2C66C4DB"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Management has represented ,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w:t>
      </w:r>
      <w:r w:rsidRPr="009C5C6A">
        <w:rPr>
          <w:rFonts w:ascii="Source Sans Pro" w:hAnsi="Source Sans Pro"/>
        </w:rPr>
        <w:lastRenderedPageBreak/>
        <w:t xml:space="preserve">in any manner whatsoever by or on behalf of the Company (‘Ultimate Beneficiaries’) or provide any guarantee, security or the like on behalf of the Ultimate Beneficiaries. </w:t>
      </w:r>
    </w:p>
    <w:p w:rsidRPr="009C5C6A" w:rsidR="007805DC" w:rsidP="007805DC" w:rsidRDefault="007805DC" w14:paraId="7D9AC877"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Management has represented, to best of their knowledge and belief, that no funds have been received by the Company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7805DC" w:rsidP="007805DC" w:rsidRDefault="007805DC" w14:paraId="3609854D" w14:textId="24F636E3">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 xml:space="preserve">Based on such audit procedures, that have been considered reasonable and appropriate in the circumstances, nothing has come to our notice that has caused us to believe that the representation under </w:t>
      </w:r>
      <w:r w:rsidR="000C0F96">
        <w:rPr>
          <w:rFonts w:ascii="Source Sans Pro" w:hAnsi="Source Sans Pro" w:cstheme="minorHAnsi"/>
        </w:rPr>
        <w:t>sub clause (</w:t>
      </w:r>
      <w:proofErr w:type="spellStart"/>
      <w:r w:rsidR="000C0F96">
        <w:rPr>
          <w:rFonts w:ascii="Source Sans Pro" w:hAnsi="Source Sans Pro" w:cstheme="minorHAnsi"/>
        </w:rPr>
        <w:t>i</w:t>
      </w:r>
      <w:proofErr w:type="spellEnd"/>
      <w:r w:rsidR="000C0F96">
        <w:rPr>
          <w:rFonts w:ascii="Source Sans Pro" w:hAnsi="Source Sans Pro" w:cstheme="minorHAnsi"/>
        </w:rPr>
        <w:t>) and (ii) of Rule 11(e),</w:t>
      </w:r>
      <w:r w:rsidRPr="009C5C6A" w:rsidR="000C0F96">
        <w:rPr>
          <w:rFonts w:ascii="Source Sans Pro" w:hAnsi="Source Sans Pro" w:cstheme="minorHAnsi"/>
        </w:rPr>
        <w:t xml:space="preserve"> </w:t>
      </w:r>
      <w:r w:rsidR="000C0F96">
        <w:rPr>
          <w:rFonts w:ascii="Source Sans Pro" w:hAnsi="Source Sans Pro" w:cstheme="minorHAnsi"/>
        </w:rPr>
        <w:t xml:space="preserve">as provided under </w:t>
      </w:r>
      <w:r w:rsidRPr="009C5C6A" w:rsidR="000C0F96">
        <w:rPr>
          <w:rFonts w:ascii="Source Sans Pro" w:hAnsi="Source Sans Pro" w:cstheme="minorHAnsi"/>
        </w:rPr>
        <w:t>para [ ] and [ ]</w:t>
      </w:r>
      <w:r w:rsidR="000C0F96">
        <w:rPr>
          <w:rFonts w:ascii="Source Sans Pro" w:hAnsi="Source Sans Pro" w:cstheme="minorHAnsi"/>
        </w:rPr>
        <w:t xml:space="preserve"> above,</w:t>
      </w:r>
      <w:r w:rsidRPr="009C5C6A" w:rsidR="000C0F96">
        <w:rPr>
          <w:rFonts w:ascii="Source Sans Pro" w:hAnsi="Source Sans Pro" w:cstheme="minorHAnsi"/>
        </w:rPr>
        <w:t xml:space="preserve"> </w:t>
      </w:r>
      <w:r w:rsidRPr="009C5C6A">
        <w:rPr>
          <w:rFonts w:ascii="Source Sans Pro" w:hAnsi="Source Sans Pro"/>
        </w:rPr>
        <w:t>contain any material misstatement.</w:t>
      </w:r>
    </w:p>
    <w:p w:rsidRPr="009C5C6A" w:rsidR="00FA6B90" w:rsidP="003968BB" w:rsidRDefault="003968BB" w14:paraId="2B689B13" w14:textId="4FE28D3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B0F0"/>
        </w:rPr>
        <w:t>[</w:t>
      </w:r>
      <w:r w:rsidRPr="009C5C6A" w:rsidR="007805DC">
        <w:rPr>
          <w:rFonts w:ascii="Source Sans Pro" w:hAnsi="Source Sans Pro"/>
          <w:color w:val="00B0F0"/>
        </w:rPr>
        <w:t xml:space="preserve">In our opinion and according to the information and explanations given to us, </w:t>
      </w:r>
      <w:r w:rsidRPr="009C5C6A" w:rsidR="00FA6B90">
        <w:rPr>
          <w:rFonts w:ascii="Source Sans Pro" w:hAnsi="Source Sans Pro"/>
          <w:color w:val="00B0F0"/>
        </w:rPr>
        <w:t>the dividend declared and / or paid during the year by the Company is in compliance with Section 123 of the Act.]</w:t>
      </w:r>
      <w:r w:rsidRPr="009C5C6A">
        <w:rPr>
          <w:rFonts w:ascii="Source Sans Pro" w:hAnsi="Source Sans Pro"/>
          <w:color w:val="00B0F0"/>
        </w:rPr>
        <w:t xml:space="preserve"> </w:t>
      </w:r>
      <w:r w:rsidRPr="009C5C6A" w:rsidR="00FA6B90">
        <w:rPr>
          <w:rFonts w:ascii="Source Sans Pro" w:hAnsi="Source Sans Pro"/>
          <w:color w:val="00B0F0"/>
        </w:rPr>
        <w:t>OR</w:t>
      </w:r>
      <w:r w:rsidRPr="009C5C6A">
        <w:rPr>
          <w:rFonts w:ascii="Source Sans Pro" w:hAnsi="Source Sans Pro"/>
          <w:color w:val="00B0F0"/>
        </w:rPr>
        <w:t xml:space="preserve"> </w:t>
      </w:r>
      <w:r w:rsidRPr="009C5C6A" w:rsidR="00FA6B90">
        <w:rPr>
          <w:rFonts w:ascii="Source Sans Pro" w:hAnsi="Source Sans Pro"/>
          <w:color w:val="00B0F0"/>
        </w:rPr>
        <w:t>[In our opinion and according to information and explanation given to us, the Company has not declared or paid dividend during the year, accordingly compliance with section 123 of the Act by the Company is not applicable]</w:t>
      </w:r>
    </w:p>
    <w:p w:rsidRPr="009C5C6A" w:rsidR="009C5C6A" w:rsidP="009C5C6A" w:rsidRDefault="00FA6B90" w14:paraId="7A952EB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CE19D8">
        <w:rPr>
          <w:rFonts w:ascii="Source Sans Pro" w:hAnsi="Source Sans Pro"/>
          <w:color w:val="00B0F0"/>
        </w:rPr>
        <w:t>Based on our examination which included test checks, the company has used an accounting software for maintaining its books of account which has a feature of recording audit trail (edit log) facility [</w:t>
      </w:r>
      <w:r w:rsidRPr="000C0F96">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0C0F96">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p>
    <w:p w:rsidR="0077051A" w:rsidP="0077051A" w:rsidRDefault="00C75427" w14:paraId="6B331190" w14:textId="2F19D6B8">
      <w:pPr>
        <w:pStyle w:val="ListParagraph"/>
        <w:spacing w:after="120" w:line="240" w:lineRule="auto"/>
        <w:ind w:left="993"/>
        <w:contextualSpacing w:val="0"/>
        <w:jc w:val="both"/>
        <w:rPr>
          <w:rStyle w:val="ui-provider"/>
          <w:rFonts w:ascii="Source Sans Pro" w:hAnsi="Source Sans Pro"/>
        </w:rPr>
      </w:pPr>
      <w:r w:rsidRPr="00C75427">
        <w:rPr>
          <w:rFonts w:ascii="Source Sans Pro" w:hAnsi="Source Sans Pro"/>
        </w:rPr>
        <w:t>Additionally, the audit trail has been preserved by the Company as per the statutory requirements for record retention. </w:t>
      </w:r>
      <w:r w:rsidRPr="0007114E">
        <w:rPr>
          <w:rFonts w:ascii="Source Sans Pro" w:hAnsi="Source Sans Pro"/>
          <w:color w:val="00B0F0"/>
        </w:rPr>
        <w:t>[or, the audit trail has not been preserved by the company as per the statutory requirements for record retention.]</w:t>
      </w:r>
    </w:p>
    <w:p w:rsidRPr="009C5C6A" w:rsidR="0077051A" w:rsidP="0077051A" w:rsidRDefault="0077051A" w14:paraId="253F82DC" w14:textId="77777777">
      <w:pPr>
        <w:pStyle w:val="ListParagraph"/>
        <w:spacing w:after="120" w:line="240" w:lineRule="auto"/>
        <w:ind w:left="993"/>
        <w:contextualSpacing w:val="0"/>
        <w:jc w:val="both"/>
        <w:rPr>
          <w:rFonts w:ascii="Source Sans Pro" w:hAnsi="Source Sans Pro" w:cs="Calibri"/>
          <w:bCs/>
        </w:rPr>
      </w:pPr>
    </w:p>
    <w:p w:rsidRPr="009C5C6A" w:rsidR="007805DC" w:rsidP="007805DC" w:rsidRDefault="007805DC" w14:paraId="660A581E"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7805DC" w:rsidP="007805DC" w:rsidRDefault="007805DC" w14:paraId="35E355C2"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7805DC" w:rsidP="007805DC" w:rsidRDefault="007805DC" w14:paraId="6D5DCBAA"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7805DC" w:rsidP="007805DC" w:rsidRDefault="007805DC" w14:paraId="425B30F1"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007805DC" w:rsidP="007805DC" w:rsidRDefault="007805DC" w14:paraId="3F7174E1" w14:textId="77777777">
      <w:pPr>
        <w:pStyle w:val="NoSpacing"/>
        <w:jc w:val="both"/>
        <w:rPr>
          <w:rFonts w:ascii="Source Sans Pro" w:hAnsi="Source Sans Pro" w:cs="Calibri"/>
        </w:rPr>
      </w:pPr>
    </w:p>
    <w:p w:rsidR="00143E86" w:rsidP="007805DC" w:rsidRDefault="00143E86" w14:paraId="3205CF20" w14:textId="77777777">
      <w:pPr>
        <w:pStyle w:val="NoSpacing"/>
        <w:jc w:val="both"/>
        <w:rPr>
          <w:rFonts w:ascii="Source Sans Pro" w:hAnsi="Source Sans Pro" w:cs="Calibri"/>
        </w:rPr>
      </w:pPr>
    </w:p>
    <w:p w:rsidRPr="009C5C6A" w:rsidR="00143E86" w:rsidP="007805DC" w:rsidRDefault="00143E86" w14:paraId="0C93EB02" w14:textId="77777777">
      <w:pPr>
        <w:pStyle w:val="NoSpacing"/>
        <w:jc w:val="both"/>
        <w:rPr>
          <w:rFonts w:ascii="Source Sans Pro" w:hAnsi="Source Sans Pro" w:cs="Calibri"/>
        </w:rPr>
      </w:pPr>
    </w:p>
    <w:p w:rsidRPr="009C5C6A" w:rsidR="007805DC" w:rsidP="007805DC" w:rsidRDefault="007805DC" w14:paraId="7E9DA1B8" w14:textId="77777777">
      <w:pPr>
        <w:pStyle w:val="NoSpacing"/>
        <w:jc w:val="both"/>
        <w:rPr>
          <w:rFonts w:ascii="Source Sans Pro" w:hAnsi="Source Sans Pro" w:cs="Calibri"/>
        </w:rPr>
      </w:pPr>
    </w:p>
    <w:p w:rsidRPr="009C5C6A" w:rsidR="007805DC" w:rsidP="007805DC" w:rsidRDefault="007805DC" w14:paraId="005202B7"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7805DC" w:rsidP="007805DC" w:rsidRDefault="007805DC" w14:paraId="653EC520" w14:textId="77777777">
      <w:pPr>
        <w:pStyle w:val="NoSpacing"/>
        <w:jc w:val="both"/>
        <w:rPr>
          <w:rFonts w:ascii="Source Sans Pro" w:hAnsi="Source Sans Pro" w:cs="Calibri"/>
        </w:rPr>
      </w:pPr>
      <w:r w:rsidRPr="009C5C6A">
        <w:rPr>
          <w:rFonts w:ascii="Source Sans Pro" w:hAnsi="Source Sans Pro" w:cs="Calibri"/>
        </w:rPr>
        <w:t>Partner</w:t>
      </w:r>
    </w:p>
    <w:p w:rsidRPr="009C5C6A" w:rsidR="007805DC" w:rsidP="007805DC" w:rsidRDefault="007805DC" w14:paraId="341D41A1"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7805DC" w:rsidP="007805DC" w:rsidRDefault="007805DC" w14:paraId="616BA004"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7805DC" w:rsidP="007805DC" w:rsidRDefault="007805DC" w14:paraId="78E6B42F" w14:textId="77777777">
      <w:pPr>
        <w:pStyle w:val="NoSpacing"/>
        <w:jc w:val="both"/>
        <w:rPr>
          <w:rFonts w:ascii="Source Sans Pro" w:hAnsi="Source Sans Pro" w:cs="Calibri"/>
        </w:rPr>
      </w:pPr>
    </w:p>
    <w:p w:rsidRPr="009C5C6A" w:rsidR="007805DC" w:rsidP="007805DC" w:rsidRDefault="007805DC" w14:paraId="459B5D25"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7805DC" w:rsidP="007805DC" w:rsidRDefault="007805DC" w14:paraId="745127D5"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