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3FA796"/>
          <w:sz w:val="24"/>
          <w:szCs w:val="24"/>
        </w:rPr>
        <w:t xml:space="preserve">APPLICATION DEVELOPMENT APPROACHES</w:t>
      </w:r>
    </w:p>
    <w:p>
      <w:pPr>
        <w:spacing w:after="200" w:before="200"/>
        <w:jc w:val="center"/>
      </w:pPr>
      <w:r>
        <w:rPr>
          <w:rFonts w:ascii="Calibri" w:cs="Calibri" w:eastAsia="Calibri" w:hAnsi="Calibri"/>
          <w:b/>
          <w:bCs/>
          <w:color w:val="1F2A44"/>
          <w:sz w:val="56"/>
          <w:szCs w:val="56"/>
        </w:rPr>
        <w:t xml:space="preserve">Traditional Development</w:t>
      </w:r>
    </w:p>
    <w:p>
      <w:pPr>
        <w:spacing w:after="200"/>
        <w:jc w:val="center"/>
      </w:pPr>
      <w:r>
        <w:rPr>
          <w:rFonts w:ascii="Calibri" w:cs="Calibri" w:eastAsia="Calibri" w:hAnsi="Calibri"/>
          <w:b/>
          <w:bCs/>
          <w:i/>
          <w:iCs/>
          <w:color w:val="3FA796"/>
          <w:sz w:val="40"/>
          <w:szCs w:val="40"/>
        </w:rPr>
        <w:t xml:space="preserve">vs</w:t>
      </w:r>
    </w:p>
    <w:p>
      <w:pPr>
        <w:spacing w:after="600"/>
        <w:jc w:val="center"/>
      </w:pPr>
      <w:r>
        <w:rPr>
          <w:rFonts w:ascii="Calibri" w:cs="Calibri" w:eastAsia="Calibri" w:hAnsi="Calibri"/>
          <w:b/>
          <w:bCs/>
          <w:color w:val="1F2A44"/>
          <w:sz w:val="56"/>
          <w:szCs w:val="56"/>
        </w:rPr>
        <w:t xml:space="preserve">Low-Code Development</w:t>
      </w:r>
    </w:p>
    <w:p>
      <w:pPr>
        <w:pBdr>
          <w:top w:val="single" w:color="3FA796" w:sz="12" w:space="10"/>
        </w:pBdr>
        <w:spacing w:before="400"/>
        <w:jc w:val="center"/>
      </w:pPr>
    </w:p>
    <w:p>
      <w:pPr>
        <w:spacing w:before="400"/>
        <w:jc w:val="center"/>
      </w:pPr>
      <w:r>
        <w:rPr>
          <w:i/>
          <w:iCs/>
          <w:color w:val="333333"/>
          <w:sz w:val="24"/>
          <w:szCs w:val="24"/>
        </w:rPr>
        <w:t xml:space="preserve">A Comparative Report on Modern Software Delivery Approaches</w:t>
      </w:r>
    </w:p>
    <w:p>
      <w:pPr>
        <w:spacing w:before="900"/>
        <w:jc w:val="center"/>
      </w:pPr>
      <w:r>
        <w:rPr>
          <w:color w:val="888888"/>
          <w:sz w:val="20"/>
          <w:szCs w:val="20"/>
        </w:rPr>
        <w:t xml:space="preserve">Prepared: July 2026</w:t>
      </w:r>
    </w:p>
    <w:p>
      <w:pPr>
        <w:spacing w:before="300"/>
        <w:jc w:val="center"/>
      </w:pPr>
      <w:r>
        <w:rPr>
          <w:b/>
          <w:bCs/>
          <w:color w:val="1F2A44"/>
          <w:sz w:val="24"/>
          <w:szCs w:val="24"/>
        </w:rPr>
        <w:t xml:space="preserve">Akshaya S</w:t>
      </w:r>
    </w:p>
    <w:p>
      <w:pPr>
        <w:spacing w:before="60"/>
        <w:jc w:val="center"/>
      </w:pPr>
      <w:r>
        <w:rPr>
          <w:color w:val="555555"/>
          <w:sz w:val="22"/>
          <w:szCs w:val="22"/>
        </w:rPr>
        <w:t xml:space="preserve">Roll No: 241401009</w:t>
      </w:r>
    </w:p>
    <w:p>
      <w:r>
        <w:br w:type="page"/>
      </w:r>
    </w:p>
    <w:p>
      <w:pPr>
        <w:pStyle w:val="Heading1"/>
        <w:pBdr>
          <w:bottom w:val="single" w:color="3FA796" w:sz="8" w:space="4"/>
        </w:pBdr>
        <w:spacing w:after="200" w:before="300"/>
      </w:pPr>
      <w:r>
        <w:rPr>
          <w:rFonts w:ascii="Calibri" w:cs="Calibri" w:eastAsia="Calibri" w:hAnsi="Calibri"/>
          <w:b/>
          <w:bCs/>
          <w:color w:val="1F2A44"/>
          <w:sz w:val="30"/>
          <w:szCs w:val="30"/>
        </w:rPr>
        <w:t xml:space="preserve">1. Introduction</w:t>
      </w:r>
    </w:p>
    <w:p>
      <w:pPr>
        <w:spacing w:after="160" w:line="276"/>
      </w:pPr>
      <w:r>
        <w:rPr>
          <w:rFonts w:ascii="Calibri" w:cs="Calibri" w:eastAsia="Calibri" w:hAnsi="Calibri"/>
          <w:color w:val="333333"/>
          <w:sz w:val="22"/>
          <w:szCs w:val="22"/>
        </w:rPr>
        <w:t xml:space="preserve">Choosing how to build a software application is one of the most consequential decisions a team makes. Two dominant approaches exist today: traditional, hand-written development and low-code development, which uses visual tools and prebuilt components to assemble applications with minimal manual coding. This report compares both approaches across speed, cost, flexibility, and scalability to help you choose the right method for your next project.</w:t>
      </w:r>
    </w:p>
    <w:p>
      <w:pPr>
        <w:spacing w:after="120" w:before="200"/>
      </w:pPr>
      <w:r>
        <w:rPr>
          <w:rFonts w:ascii="Calibri" w:cs="Calibri" w:eastAsia="Calibri" w:hAnsi="Calibri"/>
          <w:b/>
          <w:bCs/>
          <w:color w:val="2C3E6B"/>
          <w:sz w:val="24"/>
          <w:szCs w:val="24"/>
        </w:rPr>
        <w:t xml:space="preserve">1.1 What is Traditional Development?</w:t>
      </w:r>
    </w:p>
    <w:p>
      <w:pPr>
        <w:spacing w:after="160" w:line="276"/>
      </w:pPr>
      <w:r>
        <w:rPr>
          <w:rFonts w:ascii="Calibri" w:cs="Calibri" w:eastAsia="Calibri" w:hAnsi="Calibri"/>
          <w:color w:val="333333"/>
          <w:sz w:val="22"/>
          <w:szCs w:val="22"/>
        </w:rPr>
        <w:t xml:space="preserve">Traditional development means writing an application's logic, interface, and infrastructure line-by-line in a programming language such as Java, Python, or JavaScript. Developers have complete control over architecture, performance, and integrations, making this approach ideal for complex, large-scale, or highly specialized systems.</w:t>
      </w:r>
    </w:p>
    <w:p>
      <w:pPr>
        <w:spacing w:after="120" w:before="200"/>
      </w:pPr>
      <w:r>
        <w:rPr>
          <w:rFonts w:ascii="Calibri" w:cs="Calibri" w:eastAsia="Calibri" w:hAnsi="Calibri"/>
          <w:b/>
          <w:bCs/>
          <w:color w:val="2C3E6B"/>
          <w:sz w:val="24"/>
          <w:szCs w:val="24"/>
        </w:rPr>
        <w:t xml:space="preserve">1.2 What is Low-Code Development?</w:t>
      </w:r>
    </w:p>
    <w:p>
      <w:pPr>
        <w:spacing w:after="160" w:line="276"/>
      </w:pPr>
      <w:r>
        <w:rPr>
          <w:rFonts w:ascii="Calibri" w:cs="Calibri" w:eastAsia="Calibri" w:hAnsi="Calibri"/>
          <w:color w:val="333333"/>
          <w:sz w:val="22"/>
          <w:szCs w:val="22"/>
        </w:rPr>
        <w:t xml:space="preserve">Low-code development uses visual, drag-and-drop interfaces, prebuilt templates, and reusable components to build applications with little manual coding. Platforms like OutSystems, Mendix, and Microsoft Power Apps let both professional developers and non-technical "citizen developers" build working applications rapidly.</w:t>
      </w:r>
    </w:p>
    <w:p>
      <w:pPr>
        <w:spacing w:after="100" w:before="200"/>
      </w:pPr>
      <w:r>
        <w:rPr>
          <w:i/>
          <w:iCs/>
          <w:color w:val="666666"/>
          <w:sz w:val="18"/>
          <w:szCs w:val="18"/>
        </w:rPr>
        <w:t xml:space="preserve">Figure 1: Average development time across project types</w:t>
      </w:r>
    </w:p>
    <w:p>
      <w:pPr>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52725"/>
                    </a:xfrm>
                    <a:prstGeom prst="rect">
                      <a:avLst/>
                    </a:prstGeom>
                  </pic:spPr>
                </pic:pic>
              </a:graphicData>
            </a:graphic>
          </wp:inline>
        </w:drawing>
      </w:r>
    </w:p>
    <w:p>
      <w:r>
        <w:br w:type="page"/>
      </w:r>
    </w:p>
    <w:p>
      <w:pPr>
        <w:pStyle w:val="Heading1"/>
        <w:pBdr>
          <w:bottom w:val="single" w:color="3FA796" w:sz="8" w:space="4"/>
        </w:pBdr>
        <w:spacing w:after="200" w:before="300"/>
      </w:pPr>
      <w:r>
        <w:rPr>
          <w:rFonts w:ascii="Calibri" w:cs="Calibri" w:eastAsia="Calibri" w:hAnsi="Calibri"/>
          <w:b/>
          <w:bCs/>
          <w:color w:val="1F2A44"/>
          <w:sz w:val="30"/>
          <w:szCs w:val="30"/>
        </w:rPr>
        <w:t xml:space="preserve">2. Side-by-Side Comparison</w:t>
      </w:r>
    </w:p>
    <w:p>
      <w:pPr>
        <w:spacing w:after="160" w:line="276"/>
      </w:pPr>
      <w:r>
        <w:rPr>
          <w:rFonts w:ascii="Calibri" w:cs="Calibri" w:eastAsia="Calibri" w:hAnsi="Calibri"/>
          <w:color w:val="333333"/>
          <w:sz w:val="22"/>
          <w:szCs w:val="22"/>
        </w:rPr>
        <w:t xml:space="preserve">The table below breaks down how traditional and low-code development compare across the factors that matter most when planning a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700"/>
      </w:tblGrid>
      <w:tr>
        <w:trPr>
          <w:tblHeader/>
        </w:trPr>
        <w:tc>
          <w:tcPr>
            <w:tcW w:type="dxa" w:w="24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Aspect</w:t>
            </w:r>
          </w:p>
        </w:tc>
        <w:tc>
          <w:tcPr>
            <w:tcW w:type="dxa" w:w="37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Traditional Development</w:t>
            </w:r>
          </w:p>
        </w:tc>
        <w:tc>
          <w:tcPr>
            <w:tcW w:type="dxa" w:w="37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Low-Code Development</w:t>
            </w:r>
          </w:p>
        </w:tc>
      </w:tr>
      <w:tr>
        <w:tc>
          <w:tcPr>
            <w:tcW w:type="dxa" w:w="2400"/>
            <w:shd w:fill="F2F4F7"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Development Speed</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Slower — every feature hand-coded from scratch</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Much faster — drag-and-drop components &amp; prebuilt modules</w:t>
            </w:r>
          </w:p>
        </w:tc>
      </w:tr>
      <w:tr>
        <w:tc>
          <w:tcPr>
            <w:tcW w:type="dxa" w:w="240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Coding Skill Required</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High — requires trained software developers</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Low to moderate — accessible to citizen developers</w:t>
            </w:r>
          </w:p>
        </w:tc>
      </w:tr>
      <w:tr>
        <w:tc>
          <w:tcPr>
            <w:tcW w:type="dxa" w:w="2400"/>
            <w:shd w:fill="F2F4F7"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Customization</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Virtually unlimited flexibility</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Limited to platform's building blocks &amp; APIs</w:t>
            </w:r>
          </w:p>
        </w:tc>
      </w:tr>
      <w:tr>
        <w:tc>
          <w:tcPr>
            <w:tcW w:type="dxa" w:w="240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Cost</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Higher upfront cost (salaries, time, infra)</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Lower upfront cost, but recurring platform licensing fees</w:t>
            </w:r>
          </w:p>
        </w:tc>
      </w:tr>
      <w:tr>
        <w:tc>
          <w:tcPr>
            <w:tcW w:type="dxa" w:w="2400"/>
            <w:shd w:fill="F2F4F7"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Scalability</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Highly scalable with proper architecture</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Good for most apps; can hit platform-imposed limits</w:t>
            </w:r>
          </w:p>
        </w:tc>
      </w:tr>
      <w:tr>
        <w:tc>
          <w:tcPr>
            <w:tcW w:type="dxa" w:w="240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Maintenance</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Requires ongoing developer involvement</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Easier updates via visual editors, less code to manage</w:t>
            </w:r>
          </w:p>
        </w:tc>
      </w:tr>
      <w:tr>
        <w:tc>
          <w:tcPr>
            <w:tcW w:type="dxa" w:w="2400"/>
            <w:shd w:fill="F2F4F7"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Integration</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Full control over APIs &amp; third-party systems</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Depends on platform's built-in connectors</w:t>
            </w:r>
          </w:p>
        </w:tc>
      </w:tr>
      <w:tr>
        <w:tc>
          <w:tcPr>
            <w:tcW w:type="dxa" w:w="240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Best Suited For</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Complex, mission-critical, highly custom systems</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MVPs, internal tools, workflow apps, rapid prototypes</w:t>
            </w:r>
          </w:p>
        </w:tc>
      </w:tr>
      <w:tr>
        <w:tc>
          <w:tcPr>
            <w:tcW w:type="dxa" w:w="2400"/>
            <w:shd w:fill="F2F4F7"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Vendor Lock-in</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None — code is fully owned</w:t>
            </w:r>
          </w:p>
        </w:tc>
        <w:tc>
          <w:tcPr>
            <w:tcW w:type="dxa" w:w="37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Possible — tied to the chosen platform</w:t>
            </w:r>
          </w:p>
        </w:tc>
      </w:tr>
      <w:tr>
        <w:tc>
          <w:tcPr>
            <w:tcW w:type="dxa" w:w="240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333333"/>
                <w:sz w:val="20"/>
                <w:szCs w:val="20"/>
              </w:rPr>
              <w:t xml:space="preserve">Time to Market</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Weeks to months (or longer)</w:t>
            </w:r>
          </w:p>
        </w:tc>
        <w:tc>
          <w:tcPr>
            <w:tcW w:type="dxa" w:w="37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Days to a few weeks</w:t>
            </w:r>
          </w:p>
        </w:tc>
      </w:tr>
    </w:tbl>
    <w:p>
      <w:r>
        <w:br w:type="page"/>
      </w:r>
    </w:p>
    <w:p>
      <w:pPr>
        <w:pStyle w:val="Heading1"/>
        <w:pBdr>
          <w:bottom w:val="single" w:color="3FA796" w:sz="8" w:space="4"/>
        </w:pBdr>
        <w:spacing w:after="200" w:before="300"/>
      </w:pPr>
      <w:r>
        <w:rPr>
          <w:rFonts w:ascii="Calibri" w:cs="Calibri" w:eastAsia="Calibri" w:hAnsi="Calibri"/>
          <w:b/>
          <w:bCs/>
          <w:color w:val="1F2A44"/>
          <w:sz w:val="30"/>
          <w:szCs w:val="30"/>
        </w:rPr>
        <w:t xml:space="preserve">3. Capability Comparison</w:t>
      </w:r>
    </w:p>
    <w:p>
      <w:pPr>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048000"/>
                    </a:xfrm>
                    <a:prstGeom prst="rect">
                      <a:avLst/>
                    </a:prstGeom>
                  </pic:spPr>
                </pic:pic>
              </a:graphicData>
            </a:graphic>
          </wp:inline>
        </w:drawing>
      </w:r>
    </w:p>
    <w:p>
      <w:pPr>
        <w:spacing w:after="200" w:before="100"/>
        <w:jc w:val="center"/>
      </w:pPr>
      <w:r>
        <w:rPr>
          <w:i/>
          <w:iCs/>
          <w:color w:val="666666"/>
          <w:sz w:val="18"/>
          <w:szCs w:val="18"/>
        </w:rPr>
        <w:t xml:space="preserve">Figure 2: Relative capability scores (out of 10) across key dimensions</w:t>
      </w:r>
    </w:p>
    <w:p>
      <w:pPr>
        <w:pStyle w:val="Heading1"/>
        <w:pBdr>
          <w:bottom w:val="single" w:color="3FA796" w:sz="8" w:space="4"/>
        </w:pBdr>
        <w:spacing w:after="200" w:before="300"/>
      </w:pPr>
      <w:r>
        <w:rPr>
          <w:rFonts w:ascii="Calibri" w:cs="Calibri" w:eastAsia="Calibri" w:hAnsi="Calibri"/>
          <w:b/>
          <w:bCs/>
          <w:color w:val="1F2A44"/>
          <w:sz w:val="30"/>
          <w:szCs w:val="30"/>
        </w:rPr>
        <w:t xml:space="preserve">4. Advantages &amp; Limitations</w:t>
      </w:r>
    </w:p>
    <w:p>
      <w:pPr>
        <w:spacing w:after="120" w:before="200"/>
      </w:pPr>
      <w:r>
        <w:rPr>
          <w:rFonts w:ascii="Calibri" w:cs="Calibri" w:eastAsia="Calibri" w:hAnsi="Calibri"/>
          <w:b/>
          <w:bCs/>
          <w:color w:val="2C3E6B"/>
          <w:sz w:val="24"/>
          <w:szCs w:val="24"/>
        </w:rPr>
        <w:t xml:space="preserve">4.1 Traditional Development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Advantages</w:t>
            </w:r>
          </w:p>
        </w:tc>
        <w:tc>
          <w:tcPr>
            <w:tcW w:type="dxa" w:w="49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Limitations</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Unlimited customization and control</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Slower time to market</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No vendor lock-in — full code ownership</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Requires skilled developers</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Best performance for complex systems</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Higher initial cost</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Scales to any level of complexity</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Harder to iterate quickly</w:t>
            </w:r>
          </w:p>
        </w:tc>
      </w:tr>
    </w:tbl>
    <w:p>
      <w:pPr>
        <w:spacing w:after="200"/>
      </w:pPr>
    </w:p>
    <w:p>
      <w:pPr>
        <w:spacing w:after="120" w:before="200"/>
      </w:pPr>
      <w:r>
        <w:rPr>
          <w:rFonts w:ascii="Calibri" w:cs="Calibri" w:eastAsia="Calibri" w:hAnsi="Calibri"/>
          <w:b/>
          <w:bCs/>
          <w:color w:val="2C3E6B"/>
          <w:sz w:val="24"/>
          <w:szCs w:val="24"/>
        </w:rPr>
        <w:t xml:space="preserve">4.2 Low-Code Development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Advantages</w:t>
            </w:r>
          </w:p>
        </w:tc>
        <w:tc>
          <w:tcPr>
            <w:tcW w:type="dxa" w:w="49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Limitations</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Rapid development and deployment</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Limited deep customization</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Lower barrier to entry for non-coders</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Potential vendor lock-in</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Faster iteration and prototyping</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May struggle with high complexity</w:t>
            </w:r>
          </w:p>
        </w:tc>
      </w:tr>
      <w:tr>
        <w:tc>
          <w:tcPr>
            <w:tcW w:type="dxa" w:w="4900"/>
            <w:shd w:fill="E6F5F2"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Reduced initial development cost</w:t>
            </w:r>
          </w:p>
        </w:tc>
        <w:tc>
          <w:tcPr>
            <w:tcW w:type="dxa" w:w="4900"/>
            <w:shd w:fill="E9EDF6"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Ongoing platform licensing fees</w:t>
            </w:r>
          </w:p>
        </w:tc>
      </w:tr>
    </w:tbl>
    <w:p>
      <w:pPr>
        <w:spacing w:after="200"/>
      </w:pPr>
    </w:p>
    <w:p>
      <w:pPr>
        <w:pStyle w:val="Heading1"/>
        <w:pBdr>
          <w:bottom w:val="single" w:color="3FA796" w:sz="8" w:space="4"/>
        </w:pBdr>
        <w:spacing w:after="200" w:before="300"/>
      </w:pPr>
      <w:r>
        <w:rPr>
          <w:rFonts w:ascii="Calibri" w:cs="Calibri" w:eastAsia="Calibri" w:hAnsi="Calibri"/>
          <w:b/>
          <w:bCs/>
          <w:color w:val="1F2A44"/>
          <w:sz w:val="30"/>
          <w:szCs w:val="30"/>
        </w:rPr>
        <w:t xml:space="preserve">5. When to Use Which Approach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000"/>
      </w:tblGrid>
      <w:tr>
        <w:trPr>
          <w:tblHeader/>
        </w:trPr>
        <w:tc>
          <w:tcPr>
            <w:tcW w:type="dxa" w:w="32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Scenario</w:t>
            </w:r>
          </w:p>
        </w:tc>
        <w:tc>
          <w:tcPr>
            <w:tcW w:type="dxa" w:w="26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Recommended Approach</w:t>
            </w:r>
          </w:p>
        </w:tc>
        <w:tc>
          <w:tcPr>
            <w:tcW w:type="dxa" w:w="4000"/>
            <w:shd w:fill="2C3E6B"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Why</w:t>
            </w:r>
          </w:p>
        </w:tc>
      </w:tr>
      <w:tr>
        <w:tc>
          <w:tcPr>
            <w:tcW w:type="dxa" w:w="32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Banking core transaction system</w:t>
            </w:r>
          </w:p>
        </w:tc>
        <w:tc>
          <w:tcPr>
            <w:tcW w:type="dxa" w:w="2600"/>
            <w:shd w:fill="F2F4F7" w:color="auto" w:val="clear"/>
            <w:tcMar>
              <w:top w:type="dxa" w:w="90"/>
              <w:left w:type="dxa" w:w="120"/>
              <w:bottom w:type="dxa" w:w="90"/>
              <w:right w:type="dxa" w:w="120"/>
            </w:tcMar>
            <w:vAlign w:val="center"/>
          </w:tcPr>
          <w:p>
            <w:pPr>
              <w:jc w:val="center"/>
            </w:pPr>
            <w:r>
              <w:rPr>
                <w:rFonts w:ascii="Calibri" w:cs="Calibri" w:eastAsia="Calibri" w:hAnsi="Calibri"/>
                <w:b/>
                <w:bCs/>
                <w:color w:val="333333"/>
                <w:sz w:val="20"/>
                <w:szCs w:val="20"/>
              </w:rPr>
              <w:t xml:space="preserve">Traditional</w:t>
            </w:r>
          </w:p>
        </w:tc>
        <w:tc>
          <w:tcPr>
            <w:tcW w:type="dxa" w:w="40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Requires deep security, custom logic &amp; full control</w:t>
            </w:r>
          </w:p>
        </w:tc>
      </w:tr>
      <w:tr>
        <w:tc>
          <w:tcPr>
            <w:tcW w:type="dxa" w:w="32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Internal HR leave-approval app</w:t>
            </w:r>
          </w:p>
        </w:tc>
        <w:tc>
          <w:tcPr>
            <w:tcW w:type="dxa" w:w="2600"/>
            <w:shd w:fill="FFFFFF" w:color="auto" w:val="clear"/>
            <w:tcMar>
              <w:top w:type="dxa" w:w="90"/>
              <w:left w:type="dxa" w:w="120"/>
              <w:bottom w:type="dxa" w:w="90"/>
              <w:right w:type="dxa" w:w="120"/>
            </w:tcMar>
            <w:vAlign w:val="center"/>
          </w:tcPr>
          <w:p>
            <w:pPr>
              <w:jc w:val="center"/>
            </w:pPr>
            <w:r>
              <w:rPr>
                <w:rFonts w:ascii="Calibri" w:cs="Calibri" w:eastAsia="Calibri" w:hAnsi="Calibri"/>
                <w:b/>
                <w:bCs/>
                <w:color w:val="333333"/>
                <w:sz w:val="20"/>
                <w:szCs w:val="20"/>
              </w:rPr>
              <w:t xml:space="preserve">Low-Code</w:t>
            </w:r>
          </w:p>
        </w:tc>
        <w:tc>
          <w:tcPr>
            <w:tcW w:type="dxa" w:w="4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Simple workflow, fast turnaround, few users</w:t>
            </w:r>
          </w:p>
        </w:tc>
      </w:tr>
      <w:tr>
        <w:tc>
          <w:tcPr>
            <w:tcW w:type="dxa" w:w="32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High-traffic e-commerce platform</w:t>
            </w:r>
          </w:p>
        </w:tc>
        <w:tc>
          <w:tcPr>
            <w:tcW w:type="dxa" w:w="2600"/>
            <w:shd w:fill="F2F4F7" w:color="auto" w:val="clear"/>
            <w:tcMar>
              <w:top w:type="dxa" w:w="90"/>
              <w:left w:type="dxa" w:w="120"/>
              <w:bottom w:type="dxa" w:w="90"/>
              <w:right w:type="dxa" w:w="120"/>
            </w:tcMar>
            <w:vAlign w:val="center"/>
          </w:tcPr>
          <w:p>
            <w:pPr>
              <w:jc w:val="center"/>
            </w:pPr>
            <w:r>
              <w:rPr>
                <w:rFonts w:ascii="Calibri" w:cs="Calibri" w:eastAsia="Calibri" w:hAnsi="Calibri"/>
                <w:b/>
                <w:bCs/>
                <w:color w:val="333333"/>
                <w:sz w:val="20"/>
                <w:szCs w:val="20"/>
              </w:rPr>
              <w:t xml:space="preserve">Traditional</w:t>
            </w:r>
          </w:p>
        </w:tc>
        <w:tc>
          <w:tcPr>
            <w:tcW w:type="dxa" w:w="40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Needs custom performance tuning &amp; scalability</w:t>
            </w:r>
          </w:p>
        </w:tc>
      </w:tr>
      <w:tr>
        <w:tc>
          <w:tcPr>
            <w:tcW w:type="dxa" w:w="32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Hackathon MVP / prototype</w:t>
            </w:r>
          </w:p>
        </w:tc>
        <w:tc>
          <w:tcPr>
            <w:tcW w:type="dxa" w:w="2600"/>
            <w:shd w:fill="FFFFFF" w:color="auto" w:val="clear"/>
            <w:tcMar>
              <w:top w:type="dxa" w:w="90"/>
              <w:left w:type="dxa" w:w="120"/>
              <w:bottom w:type="dxa" w:w="90"/>
              <w:right w:type="dxa" w:w="120"/>
            </w:tcMar>
            <w:vAlign w:val="center"/>
          </w:tcPr>
          <w:p>
            <w:pPr>
              <w:jc w:val="center"/>
            </w:pPr>
            <w:r>
              <w:rPr>
                <w:rFonts w:ascii="Calibri" w:cs="Calibri" w:eastAsia="Calibri" w:hAnsi="Calibri"/>
                <w:b/>
                <w:bCs/>
                <w:color w:val="333333"/>
                <w:sz w:val="20"/>
                <w:szCs w:val="20"/>
              </w:rPr>
              <w:t xml:space="preserve">Low-Code</w:t>
            </w:r>
          </w:p>
        </w:tc>
        <w:tc>
          <w:tcPr>
            <w:tcW w:type="dxa" w:w="4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Speed matters more than deep customization</w:t>
            </w:r>
          </w:p>
        </w:tc>
      </w:tr>
      <w:tr>
        <w:tc>
          <w:tcPr>
            <w:tcW w:type="dxa" w:w="32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Government citizen portal</w:t>
            </w:r>
          </w:p>
        </w:tc>
        <w:tc>
          <w:tcPr>
            <w:tcW w:type="dxa" w:w="2600"/>
            <w:shd w:fill="F2F4F7" w:color="auto" w:val="clear"/>
            <w:tcMar>
              <w:top w:type="dxa" w:w="90"/>
              <w:left w:type="dxa" w:w="120"/>
              <w:bottom w:type="dxa" w:w="90"/>
              <w:right w:type="dxa" w:w="120"/>
            </w:tcMar>
            <w:vAlign w:val="center"/>
          </w:tcPr>
          <w:p>
            <w:pPr>
              <w:jc w:val="center"/>
            </w:pPr>
            <w:r>
              <w:rPr>
                <w:rFonts w:ascii="Calibri" w:cs="Calibri" w:eastAsia="Calibri" w:hAnsi="Calibri"/>
                <w:b/>
                <w:bCs/>
                <w:color w:val="333333"/>
                <w:sz w:val="20"/>
                <w:szCs w:val="20"/>
              </w:rPr>
              <w:t xml:space="preserve">Traditional</w:t>
            </w:r>
          </w:p>
        </w:tc>
        <w:tc>
          <w:tcPr>
            <w:tcW w:type="dxa" w:w="4000"/>
            <w:shd w:fill="F2F4F7"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Complex compliance &amp; integration requirements</w:t>
            </w:r>
          </w:p>
        </w:tc>
      </w:tr>
      <w:tr>
        <w:tc>
          <w:tcPr>
            <w:tcW w:type="dxa" w:w="32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Event registration micro-app</w:t>
            </w:r>
          </w:p>
        </w:tc>
        <w:tc>
          <w:tcPr>
            <w:tcW w:type="dxa" w:w="2600"/>
            <w:shd w:fill="FFFFFF" w:color="auto" w:val="clear"/>
            <w:tcMar>
              <w:top w:type="dxa" w:w="90"/>
              <w:left w:type="dxa" w:w="120"/>
              <w:bottom w:type="dxa" w:w="90"/>
              <w:right w:type="dxa" w:w="120"/>
            </w:tcMar>
            <w:vAlign w:val="center"/>
          </w:tcPr>
          <w:p>
            <w:pPr>
              <w:jc w:val="center"/>
            </w:pPr>
            <w:r>
              <w:rPr>
                <w:rFonts w:ascii="Calibri" w:cs="Calibri" w:eastAsia="Calibri" w:hAnsi="Calibri"/>
                <w:b/>
                <w:bCs/>
                <w:color w:val="333333"/>
                <w:sz w:val="20"/>
                <w:szCs w:val="20"/>
              </w:rPr>
              <w:t xml:space="preserve">Low-Code</w:t>
            </w:r>
          </w:p>
        </w:tc>
        <w:tc>
          <w:tcPr>
            <w:tcW w:type="dxa" w:w="400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333333"/>
                <w:sz w:val="20"/>
                <w:szCs w:val="20"/>
              </w:rPr>
              <w:t xml:space="preserve">Short-lived, low-complexity, quick to launch</w:t>
            </w:r>
          </w:p>
        </w:tc>
      </w:tr>
    </w:tbl>
    <w:p>
      <w:pPr>
        <w:spacing w:after="200"/>
      </w:pPr>
    </w:p>
    <w:p>
      <w:pPr>
        <w:pStyle w:val="Heading1"/>
        <w:pBdr>
          <w:bottom w:val="single" w:color="3FA796" w:sz="8" w:space="4"/>
        </w:pBdr>
        <w:spacing w:after="200" w:before="300"/>
      </w:pPr>
      <w:r>
        <w:rPr>
          <w:rFonts w:ascii="Calibri" w:cs="Calibri" w:eastAsia="Calibri" w:hAnsi="Calibri"/>
          <w:b/>
          <w:bCs/>
          <w:color w:val="1F2A44"/>
          <w:sz w:val="30"/>
          <w:szCs w:val="30"/>
        </w:rPr>
        <w:t xml:space="preserve">6. Conclusion</w:t>
      </w:r>
    </w:p>
    <w:p>
      <w:pPr>
        <w:spacing w:after="160" w:line="276"/>
      </w:pPr>
      <w:r>
        <w:rPr>
          <w:rFonts w:ascii="Calibri" w:cs="Calibri" w:eastAsia="Calibri" w:hAnsi="Calibri"/>
          <w:color w:val="333333"/>
          <w:sz w:val="22"/>
          <w:szCs w:val="22"/>
        </w:rPr>
        <w:t xml:space="preserve">Neither approach is universally "better" — the right choice depends on project complexity, timeline, budget, and available skills. Low-code development is the clear winner for speed, simplicity, and accessibility, making it ideal for MVPs, internal tools, and rapid prototypes such as hackathon projects. Traditional development remains essential for large-scale, highly customized, or mission-critical systems that demand full control and long-term scalability.</w:t>
      </w:r>
    </w:p>
    <w:p>
      <w:pPr>
        <w:spacing w:after="120" w:before="200"/>
      </w:pPr>
      <w:r>
        <w:rPr>
          <w:rFonts w:ascii="Calibri" w:cs="Calibri" w:eastAsia="Calibri" w:hAnsi="Calibri"/>
          <w:b/>
          <w:bCs/>
          <w:color w:val="2C3E6B"/>
          <w:sz w:val="24"/>
          <w:szCs w:val="24"/>
        </w:rPr>
        <w:t xml:space="preserve">Key Takeaways</w:t>
      </w:r>
    </w:p>
    <w:p>
      <w:pPr>
        <w:pStyle w:val="ListParagraph"/>
        <w:numPr>
          <w:ilvl w:val="0"/>
          <w:numId w:val="1"/>
        </w:numPr>
        <w:spacing w:after="80"/>
      </w:pPr>
      <w:r>
        <w:rPr>
          <w:rFonts w:ascii="Calibri" w:cs="Calibri" w:eastAsia="Calibri" w:hAnsi="Calibri"/>
          <w:color w:val="333333"/>
          <w:sz w:val="22"/>
          <w:szCs w:val="22"/>
        </w:rPr>
        <w:t xml:space="preserve">Choose low-code for speed, simplicity, and quick validation of ideas.</w:t>
      </w:r>
    </w:p>
    <w:p>
      <w:pPr>
        <w:pStyle w:val="ListParagraph"/>
        <w:numPr>
          <w:ilvl w:val="0"/>
          <w:numId w:val="1"/>
        </w:numPr>
        <w:spacing w:after="80"/>
      </w:pPr>
      <w:r>
        <w:rPr>
          <w:rFonts w:ascii="Calibri" w:cs="Calibri" w:eastAsia="Calibri" w:hAnsi="Calibri"/>
          <w:color w:val="333333"/>
          <w:sz w:val="22"/>
          <w:szCs w:val="22"/>
        </w:rPr>
        <w:t xml:space="preserve">Choose traditional development for deep customization and complex, large-scale systems.</w:t>
      </w:r>
    </w:p>
    <w:p>
      <w:pPr>
        <w:pStyle w:val="ListParagraph"/>
        <w:numPr>
          <w:ilvl w:val="0"/>
          <w:numId w:val="1"/>
        </w:numPr>
        <w:spacing w:after="80"/>
      </w:pPr>
      <w:r>
        <w:rPr>
          <w:rFonts w:ascii="Calibri" w:cs="Calibri" w:eastAsia="Calibri" w:hAnsi="Calibri"/>
          <w:color w:val="333333"/>
          <w:sz w:val="22"/>
          <w:szCs w:val="22"/>
        </w:rPr>
        <w:t xml:space="preserve">Many organizations now use a hybrid strategy — low-code for internal tools, traditional coding for core products.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Traditional vs Low-Code Development</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a3c6e39f11babbc42f72a66d9a7f853988479c.png"/><Relationship Id="rId10" Type="http://schemas.openxmlformats.org/officeDocument/2006/relationships/image" Target="media/c16bcd6d672ed8cca5009b6da28ab8b5ea2d2c6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2026-07-20T09:12:26.930Z</dcterms:created>
  <dcterms:modified xsi:type="dcterms:W3CDTF">2026-07-20T09:12:26.942Z</dcterms:modified>
</cp:coreProperties>
</file>

<file path=docProps/custom.xml><?xml version="1.0" encoding="utf-8"?>
<Properties xmlns="http://schemas.openxmlformats.org/officeDocument/2006/custom-properties" xmlns:vt="http://schemas.openxmlformats.org/officeDocument/2006/docPropsVTypes"/>
</file>