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>TOPIC: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000ff"/>
          <w:sz w:val="48"/>
          <w:szCs w:val="48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ff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ff"/>
          <w:sz w:val="48"/>
          <w:szCs w:val="48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ff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ff"/>
          <w:sz w:val="48"/>
          <w:szCs w:val="48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ff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center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ffffff"/>
          <w:sz w:val="48"/>
          <w:szCs w:val="48"/>
          <w:highlight w:val="black"/>
          <w:vertAlign w:val="baseline"/>
          <w:em w:val="none"/>
          <w:lang w:val="en-US" w:eastAsia="zh-CN"/>
        </w:rPr>
        <w:t>Phase-2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onsider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exploring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techniques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identify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unusual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patterns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zh-CN"/>
        </w:rPr>
        <w:t>quality.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284220" cy="1912239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4220" cy="19122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AIM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Cerrtainly!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Implementing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mitigating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monitoring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parameters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turbidity,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dissolved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oxygen,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unusual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approaches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include: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**Statistical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Methods**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Z-scores,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Grubbs'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statistical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outliers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**Machine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Algorithms*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*: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Isolation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Forest,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One-Class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SVM,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Autoencoders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historical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normal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812415" cy="2143125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2415" cy="2143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flag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anomalies.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**Time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Series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213354" cy="1995932"/>
            <wp:effectExtent l="0" t="0" r="0" b="0"/>
            <wp:wrapTopAndBottom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3354" cy="199593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nalysis**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Exponential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Smoothing,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ARIMA,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Seasonal-Trend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decomposition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forecast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deviations.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**Cluster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**: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similar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cluster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anomalies.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**Domain-Specific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Models**: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knowledge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parameters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contexts.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Certainly!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unusual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optimizing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initial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phase.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advanced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considerations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might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explore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**Ensemble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Methods**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Combining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robust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11273" cy="168592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1273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**Deep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Approaches*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convolutional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(CNNs)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recurrent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(RNNs)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capture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**Transfer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applicable,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pre-trained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tasks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fine-tune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**Temporal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Spatial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Analysis**: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Incorporating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temporal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spatial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dimensions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comprehensive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427095" cy="2143125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27095" cy="2143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143125" cy="214312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3125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**Data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Fusion**: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Integrating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(e.g.,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sensors,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satellite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imagery,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enhance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accuracy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**Real-Time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Monitoring**: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Implementing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real-time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monitoring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immediate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situations.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**Model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Interpretability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008249" cy="751078"/>
            <wp:effectExtent l="0" t="0" r="0" b="0"/>
            <wp:wrapTopAndBottom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3008249" cy="75107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interpretable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anomalies.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33625" cy="196214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3625" cy="1962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**Data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Augmentation**: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Augmenting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synthetic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generalization.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**Dynamic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Thresholding*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*: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adaptive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thresholds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scenarios.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...Thanking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3.pn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434</Words>
  <Characters>2737</Characters>
  <Application>WPS Office</Application>
  <Paragraphs>54</Paragraphs>
  <CharactersWithSpaces>3148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2023-10-17T08:45:07Z</dcterms:created>
  <dc:creator>BASKAR V</dc:creator>
  <lastModifiedBy>moto g(40) fusion</lastModifiedBy>
  <dcterms:modified xsi:type="dcterms:W3CDTF">2023-10-17T08:45:07Z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2a61dfe1549e4aeea77840a6dd3eed4d</vt:lpwstr>
  </property>
</Properties>
</file>