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AION Use Case Backlog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101 use cases scored by 4-P AI Impact Formula | RTX Enterprise AI Operating System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4-P Formula: AI Impact = People x Programmability x Productivity x Precision (Parth Chhaparwal, 2024)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Manufacturing &amp; Plant Ops (25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GTF blade CV quality inspection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5,670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Missile assembly AI-assisted QC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5,184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Metropolis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Additive manufacturing quality monitor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3,528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Predictive maintenance (P&amp;W test cells)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5,184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P0-QW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iMRO/4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SmarTwin digital twin (lighthouse)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Omniverse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Composite layup defect detection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4,032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CNC tool wear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4,536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Cleanroom contamination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Energy consumption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3,024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Automated visual inspection (Collins)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4,608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Production scheduling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3,528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Agent Studio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Yield prediction (P&amp;W turbine disks)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4,032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DataRobot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Weld quality real-time monitoring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3,584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OEE real-time dashboard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3,402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Force.Software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First article inspection automation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3,456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Paint/coating thickness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Vibration analysis (bearing health)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3,528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iMRO/4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Material traceability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2,646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 + 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AR-guided assembly instructions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1,960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PTC Vuforia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Robotic inspection (confined spaces)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1,344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Process parameter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DataRobot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 R&amp;R automation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2,240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Supplier quality incoming inspection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3,136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Shift handover intelligence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2,160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Environmental compliance monitor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Supply Chain &amp; Logistics (20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Guardian supplier risk engine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4,032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P0-QW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ITAR logistics compliance automator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4,608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 + 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Rare material sourcing intelligence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2,304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Readiness-as-a-Service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iMRO/4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Demand forecasting (engine aftermarket)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3,136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 + 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Tariff exposure scenario modelling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Multi-tier supply chain visibility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Sole-source supplier mitigation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1,680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 slotting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Inbound logistics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Contract manufacturing quality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$9M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Procurement spend analytics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Counterfeit parts detection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1,890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Transportation route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$7M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Supplier on-time delivery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Inventory optimisation (defence spares)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Customs documentation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Supplier ESG scoring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1,764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Demand sensing (Collins aftermarket)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Supply chain digital twin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1,715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Omniverse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Finance &amp; Accounting (20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Autonomous close engine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5,103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for SAP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AI-powered EVMS reporting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4,096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HANASmart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CAS compliance automation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3,528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EAC prediction for defence programs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DataRobot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contract pricing (cost-plus)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2,304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contract pricing (FFP)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2,304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Intercompany reconciliation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3,456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for SAP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Cash flow forecasting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3,136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Accounts payable automation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3,402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for SAP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Revenue recognition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3,136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Audit preparation assistant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Tax compliance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1,764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Working capital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Budget variance analysis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for SAP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Contract profitability dashboard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Force.Software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Fraud detection (procurement)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2,304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$7M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Government property accountability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FX exposure hedging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1,764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Real estate portfolio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1,680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SOX control testing automation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2,646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Defence Programs (7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Defence contract win rate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1,920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SIPR-boundary agentic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1,260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EAC intelligence engine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DataRobot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Technical data package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Program risk heat map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2,401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Force.Software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Subcontractor performance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2,401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iSCM + 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Proposal generation assistant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IT Operations &amp; Cyber (13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Sovereign helpdesk agent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3,888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P0-QW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SAP migration accelerator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4,536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HANASmart + Base90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 rationalisation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3,072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Prizm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Nation-state threat detection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2,205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 + CrowdStrike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Automated incident response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Cloud cost optimisation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3,024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Change impact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2,401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Vulnerability prioritisation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gateway intelligence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Legacy code documentation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3,024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Specs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Database performance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Zero-trust policy engine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1,680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$8M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 + Palo Alto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 asset lifecycle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2,304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Force.Ops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HR &amp; Safety (16 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900"/>
        <w:gridCol w:w="700"/>
        <w:gridCol w:w="900"/>
        <w:gridCol w:w="24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4-P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HCL IP / Stack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Clearance pipeline optimiser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Engineering talent retention prediction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2,744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Workforce planning AI (programme ramp)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ITAR compliance auditor (personnel)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3,402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Safety incident predictor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$10M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Post-merger cultural analytics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1,620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Skills gap mapping (AI readiness)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1,960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Interview scheduling optimiser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2,160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PPE compliance monitoring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2,688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Fatigue and wellness monitoring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1,344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Training effectiveness analytics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1,764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Contractor compliance tracker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2,352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GRC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Succession planning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1,260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$4M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Employee self-service AI assistant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2,430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$6M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(LISA)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Ergonomic risk assessment 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Reshape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1,470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$3M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 + NVIDIA CV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Return-to-work optimiser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1,512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$2M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 Force.Data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USE CASE BACKLOG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 w:space="4"/>
      </w:pBdr>
    </w:pPr>
    <w:r>
      <w:rPr>
        <w:rFonts w:ascii="Arial" w:cs="Arial" w:eastAsia="Arial" w:hAnsi="Arial"/>
        <w:color w:val="666666"/>
        <w:sz w:val="14"/>
        <w:szCs w:val="14"/>
      </w:rPr>
      <w:t xml:space="preserve">AION Use Case Backlog | RTX-EOS-RFP-2026-0111 | HCL Technologies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2026-04-09T13:27:04.778Z</dcterms:created>
  <dcterms:modified xsi:type="dcterms:W3CDTF">2026-04-09T13:27:04.780Z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