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03366"/>
          <w:sz w:val="52"/>
          <w:szCs w:val="52"/>
        </w:rPr>
        <w:t xml:space="preserve">HCL TECHNOLOGIES</w:t>
      </w:r>
    </w:p>
    <w:p>
      <w:pPr>
        <w:spacing w:after="40"/>
        <w:jc w:val="center"/>
      </w:pPr>
      <w:r>
        <w:rPr>
          <w:rFonts w:ascii="Arial" w:cs="Arial" w:eastAsia="Arial" w:hAnsi="Arial"/>
          <w:color w:val="0066CC"/>
          <w:sz w:val="24"/>
          <w:szCs w:val="24"/>
        </w:rPr>
        <w:t xml:space="preserve">AI Force  |  AI Foundry  |  AI Labs</w:t>
      </w:r>
    </w:p>
    <w:p>
      <w:pPr>
        <w:pBdr>
          <w:bottom w:val="single" w:color="0066CC" w:sz="6" w:space="1"/>
        </w:pBdr>
        <w:spacing w:before="400"/>
      </w:pPr>
    </w:p>
    <w:p>
      <w:pPr>
        <w:spacing w:before="300"/>
        <w:jc w:val="center"/>
      </w:pPr>
      <w:r>
        <w:rPr>
          <w:rFonts w:ascii="Arial" w:cs="Arial" w:eastAsia="Arial" w:hAnsi="Arial"/>
          <w:b/>
          <w:bCs/>
          <w:color w:val="003366"/>
          <w:sz w:val="40"/>
          <w:szCs w:val="40"/>
        </w:rPr>
        <w:t xml:space="preserve">ENTERPRISE AI OPERATING SYSTEM</w:t>
      </w:r>
    </w:p>
    <w:p>
      <w:pPr>
        <w:jc w:val="center"/>
      </w:pPr>
      <w:r>
        <w:rPr>
          <w:rFonts w:ascii="Arial" w:cs="Arial" w:eastAsia="Arial" w:hAnsi="Arial"/>
          <w:color w:val="666666"/>
          <w:sz w:val="26"/>
          <w:szCs w:val="26"/>
        </w:rPr>
        <w:t xml:space="preserve">RFP Response for Raytheon (RTX Corporation)</w:t>
      </w:r>
    </w:p>
    <w:p>
      <w:pPr>
        <w:spacing w:before="40"/>
        <w:jc w:val="center"/>
      </w:pPr>
      <w:r>
        <w:rPr>
          <w:rFonts w:ascii="Arial" w:cs="Arial" w:eastAsia="Arial" w:hAnsi="Arial"/>
          <w:color w:val="666666"/>
          <w:sz w:val="22"/>
          <w:szCs w:val="22"/>
        </w:rPr>
        <w:t xml:space="preserve">RFP Reference: RTX-EOS-RFP-2026-0111</w:t>
      </w:r>
    </w:p>
    <w:p>
      <w:pPr>
        <w:spacing w:before="600"/>
        <w:jc w:val="center"/>
      </w:pPr>
      <w:r>
        <w:rPr>
          <w:rFonts w:ascii="Arial" w:cs="Arial" w:eastAsia="Arial" w:hAnsi="Arial"/>
          <w:color w:val="1A1A1A"/>
          <w:sz w:val="24"/>
          <w:szCs w:val="24"/>
        </w:rPr>
        <w:t xml:space="preserve">Submitted by HCL Technologies Limited</w:t>
      </w:r>
    </w:p>
    <w:p>
      <w:pPr>
        <w:jc w:val="center"/>
      </w:pPr>
      <w:r>
        <w:rPr>
          <w:rFonts w:ascii="Arial" w:cs="Arial" w:eastAsia="Arial" w:hAnsi="Arial"/>
          <w:color w:val="666666"/>
          <w:sz w:val="20"/>
          <w:szCs w:val="20"/>
        </w:rPr>
        <w:t xml:space="preserve">226,300+ professionals  |  60 countries  |  $14.5B revenue</w:t>
      </w:r>
    </w:p>
    <w:p>
      <w:pPr>
        <w:spacing w:before="100"/>
        <w:jc w:val="center"/>
      </w:pPr>
      <w:r>
        <w:rPr>
          <w:rFonts w:ascii="Arial" w:cs="Arial" w:eastAsia="Arial" w:hAnsi="Arial"/>
          <w:i/>
          <w:iCs/>
          <w:color w:val="0066CC"/>
          <w:sz w:val="20"/>
          <w:szCs w:val="20"/>
        </w:rPr>
        <w:t xml:space="preserve">ISG Leader in Aerospace &amp; Defense Services (all 4 quadrants, 2025)</w:t>
      </w:r>
    </w:p>
    <w:p>
      <w:pPr>
        <w:spacing w:before="600"/>
        <w:jc w:val="center"/>
      </w:pPr>
      <w:r>
        <w:rPr>
          <w:rFonts w:ascii="Arial" w:cs="Arial" w:eastAsia="Arial" w:hAnsi="Arial"/>
          <w:b/>
          <w:bCs/>
          <w:color w:val="CC3333"/>
          <w:sz w:val="18"/>
          <w:szCs w:val="18"/>
        </w:rPr>
        <w:t xml:space="preserve">STRICTLY CONFIDENTIAL — COMMERCIAL-IN-CONFIDENCE</w:t>
      </w:r>
    </w:p>
    <w:p>
      <w:pPr>
        <w:jc w:val="center"/>
      </w:pPr>
      <w:r>
        <w:rPr>
          <w:rFonts w:ascii="Arial" w:cs="Arial" w:eastAsia="Arial" w:hAnsi="Arial"/>
          <w:color w:val="666666"/>
          <w:sz w:val="20"/>
          <w:szCs w:val="20"/>
        </w:rPr>
        <w:t xml:space="preserve">April 15,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Executive Summary</w:t>
      </w:r>
    </w:p>
    <w:p>
      <w:pPr>
        <w:spacing w:after="140"/>
      </w:pPr>
      <w:r>
        <w:rPr>
          <w:rFonts w:ascii="Arial" w:cs="Arial" w:eastAsia="Arial" w:hAnsi="Arial"/>
          <w:color w:val="1A1A1A"/>
          <w:sz w:val="22"/>
          <w:szCs w:val="22"/>
        </w:rPr>
        <w:t xml:space="preserve">RTX Corporation, a $75 billion aerospace and defense enterprise with 185,000 employees operating across 500+ manufacturing facilities in 30 countries, stands at a critical inflection point. The 2020 UTC-Raytheon merger created one of the world's most formidable defense and commercial aerospace companies, yet six years later, the technology landscape remains fragmented: 500+ standalone applications, multiple legacy ERP instances, 250,000 disconnected OT/IoT tags, and 62% of IT budget consumed by maintenance alone. While competitors invest in AI-driven autonomous operations, RTX remains at Level 2 AI maturity with isolated pilots that lack a path to enterprise production.</w:t>
      </w:r>
    </w:p>
    <w:p>
      <w:pPr>
        <w:spacing w:after="140"/>
      </w:pPr>
      <w:r>
        <w:rPr>
          <w:rFonts w:ascii="Arial" w:cs="Arial" w:eastAsia="Arial" w:hAnsi="Arial"/>
          <w:color w:val="1A1A1A"/>
          <w:sz w:val="22"/>
          <w:szCs w:val="22"/>
        </w:rPr>
        <w:t xml:space="preserve">This is not a technology problem. It is a competitive survival problem. Every quarter that RTX delays AI transformation, an estimated $62.5M in operational value goes unrealized, technical debt compounds, and the gap against AI-enabled competitors widens irreversibly.</w:t>
      </w:r>
    </w:p>
    <w:p>
      <w:pPr>
        <w:spacing w:after="140"/>
      </w:pPr>
      <w:r>
        <w:rPr>
          <w:rFonts w:ascii="Arial" w:cs="Arial" w:eastAsia="Arial" w:hAnsi="Arial"/>
          <w:color w:val="1A1A1A"/>
          <w:sz w:val="22"/>
          <w:szCs w:val="22"/>
        </w:rPr>
        <w:t xml:space="preserve">As HCL Technologies, we propose AION (AI-Enabled Operating Network) — a comprehensive Enterprise AI Operating System that transforms RTX from fragmented experimentation to unified, governed, enterprise-scale AI operations across all three business segments: Collins Aerospace, Pratt &amp; Whitney, and Raytheon.</w:t>
      </w:r>
    </w:p>
    <w:p>
      <w:pPr>
        <w:spacing w:after="140"/>
      </w:pPr>
      <w:r>
        <w:rPr>
          <w:rFonts w:ascii="Arial" w:cs="Arial" w:eastAsia="Arial" w:hAnsi="Arial"/>
          <w:color w:val="1A1A1A"/>
          <w:sz w:val="22"/>
          <w:szCs w:val="22"/>
        </w:rPr>
        <w:t xml:space="preserve">AION is built on HCLTech’s AI Force platform, our GenAI and Agentic AI engine that has been deployed across 100+ enterprise clients, integrated with our AI Foundry for full-stack data-to-dollar value chain management, and supported by our global network of AI Labs in Santa Clara, London, Munich, and Singapore. For RTX specifically, we leverage 30+ years of aerospace and defense engineering heritage, seven ITAR-compliant delivery centers in the United States, and our ISG-recognized leadership across all four A&amp;D service quadrants (Engineering, Supply Chain, MRO, and Technology Transformation).</w:t>
      </w:r>
    </w:p>
    <w:p>
      <w:pPr>
        <w:pStyle w:val="Heading2"/>
      </w:pPr>
      <w:r>
        <w:t xml:space="preserve">Proposed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Total Contract Value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$142M over 5 years (Options A-C available)</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Duration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 months: 4 waves + continuous operations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Pricing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Hybrid: Fixed-price milestones + outcome-based fees + managed services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Quick Win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Pratt &amp; Whitney engine blade predictive quality (90-day deployment, $18M annual savings)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5-Year ROI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$487M cumulative value | 3.4x return | 14-month payback</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Differentiator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Only bidder with ITAR-compliant AI Labs, 30-year A&amp;D engineering heritage, and production-grade agentic AI platform (AI Force)</w:t>
            </w:r>
          </w:p>
        </w:tc>
      </w:tr>
    </w:tbl>
    <w:p>
      <w:pPr>
        <w:spacing w:before="200"/>
      </w:pPr>
    </w:p>
    <w:p>
      <w:pPr>
        <w:spacing w:after="140"/>
      </w:pPr>
      <w:r>
        <w:rPr>
          <w:rFonts w:ascii="Arial" w:cs="Arial" w:eastAsia="Arial" w:hAnsi="Arial"/>
          <w:color w:val="1A1A1A"/>
          <w:sz w:val="22"/>
          <w:szCs w:val="22"/>
        </w:rPr>
        <w:t xml:space="preserve">HCLTech does not propose a technology experiment. We propose a production-ready, commercially structured, ITAR-governed AI transformation that RTX can deploy this quarter and scale across all segments over five years. The remainder of this document details exactly how.</w:t>
      </w:r>
    </w:p>
    <w:p>
      <w:r>
        <w:br w:type="page"/>
      </w:r>
    </w:p>
    <w:p>
      <w:pPr>
        <w:pStyle w:val="Heading1"/>
      </w:pPr>
      <w:r>
        <w:t xml:space="preserve">Section 2: Understanding of Requirements</w:t>
      </w:r>
    </w:p>
    <w:p>
      <w:pPr>
        <w:pStyle w:val="Heading2"/>
      </w:pPr>
      <w:r>
        <w:t xml:space="preserve">2.1 RTX Corporation: Strategic Context</w:t>
      </w:r>
    </w:p>
    <w:p>
      <w:pPr>
        <w:spacing w:after="140"/>
      </w:pPr>
      <w:r>
        <w:rPr>
          <w:rFonts w:ascii="Arial" w:cs="Arial" w:eastAsia="Arial" w:hAnsi="Arial"/>
          <w:color w:val="1A1A1A"/>
          <w:sz w:val="22"/>
          <w:szCs w:val="22"/>
        </w:rPr>
        <w:t xml:space="preserve">RTX Corporation emerged from the 2020 merger of United Technologies and Raytheon Company, creating an aerospace and defense titan with $75B+ in annual revenue. The company operates through three segments: Collins Aerospace (avionics, aerostructures, cabin interiors), Pratt &amp; Whitney (commercial and military engines), and Raytheon (missiles, defense electronics, cybersecurity). Each segment carries its own legacy technology stack, operational culture, and regulatory envelope.</w:t>
      </w:r>
    </w:p>
    <w:p>
      <w:pPr>
        <w:spacing w:after="140"/>
      </w:pPr>
      <w:r>
        <w:rPr>
          <w:rFonts w:ascii="Arial" w:cs="Arial" w:eastAsia="Arial" w:hAnsi="Arial"/>
          <w:color w:val="1A1A1A"/>
          <w:sz w:val="22"/>
          <w:szCs w:val="22"/>
        </w:rPr>
        <w:t xml:space="preserve">Six years post-merger, RTX faces a challenge that is structural, not incidental. The technology architectures of three formerly independent companies have been administratively combined but not operationally unified. This manifests in six interconnected pain points that compound each other daily:</w:t>
      </w:r>
    </w:p>
    <w:p>
      <w:pPr>
        <w:pStyle w:val="Heading2"/>
      </w:pPr>
      <w:r>
        <w:t xml:space="preserve">2.2 Pain Point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4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RTX-Specific Impact</w:t>
            </w:r>
          </w:p>
        </w:tc>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Annual Cost of Inaction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Technology Fragmentation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500+ standalone apps, no single source of truth</w:t>
            </w:r>
          </w:p>
          <w:p>
            <w:pPr>
              <w:spacing w:after="40"/>
            </w:pPr>
            <w:r>
              <w:rPr>
                <w:rFonts w:ascii="Arial" w:cs="Arial" w:eastAsia="Arial" w:hAnsi="Arial"/>
                <w:color w:val="1A1A1A"/>
                <w:sz w:val="19"/>
                <w:szCs w:val="19"/>
              </w:rPr>
              <w:t xml:space="preserve">PLM split across Teamcenter and Windchill</w:t>
            </w:r>
          </w:p>
          <w:p>
            <w:pPr>
              <w:spacing w:after="40"/>
            </w:pPr>
            <w:r>
              <w:rPr>
                <w:rFonts w:ascii="Arial" w:cs="Arial" w:eastAsia="Arial" w:hAnsi="Arial"/>
                <w:color w:val="1A1A1A"/>
                <w:sz w:val="19"/>
                <w:szCs w:val="19"/>
              </w:rPr>
              <w:t xml:space="preserve">Salesforce disconnected from classified systems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$45M in integration workarounds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Technical Debt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Multiple SAP ECC + Oracle EBS instances</w:t>
            </w:r>
          </w:p>
          <w:p>
            <w:pPr>
              <w:spacing w:after="40"/>
            </w:pPr>
            <w:r>
              <w:rPr>
                <w:rFonts w:ascii="Arial" w:cs="Arial" w:eastAsia="Arial" w:hAnsi="Arial"/>
                <w:color w:val="1A1A1A"/>
                <w:sz w:val="19"/>
                <w:szCs w:val="19"/>
              </w:rPr>
              <w:t xml:space="preserve">600+ custom programs across 3 segments</w:t>
            </w:r>
          </w:p>
          <w:p>
            <w:pPr>
              <w:spacing w:after="40"/>
            </w:pPr>
            <w:r>
              <w:rPr>
                <w:rFonts w:ascii="Arial" w:cs="Arial" w:eastAsia="Arial" w:hAnsi="Arial"/>
                <w:color w:val="1A1A1A"/>
                <w:sz w:val="19"/>
                <w:szCs w:val="19"/>
              </w:rPr>
              <w:t xml:space="preserve">62% IT budget on maintenance (only 38% for innovation)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$250M+ locked in maintenance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OT/IT Disconnect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250,000+ tags across 500+ facilities</w:t>
            </w:r>
          </w:p>
          <w:p>
            <w:pPr>
              <w:spacing w:after="40"/>
            </w:pPr>
            <w:r>
              <w:rPr>
                <w:rFonts w:ascii="Arial" w:cs="Arial" w:eastAsia="Arial" w:hAnsi="Arial"/>
                <w:color w:val="1A1A1A"/>
                <w:sz w:val="19"/>
                <w:szCs w:val="19"/>
              </w:rPr>
              <w:t xml:space="preserve">Classified/unclassified boundary challenges</w:t>
            </w:r>
          </w:p>
          <w:p>
            <w:pPr>
              <w:spacing w:after="40"/>
            </w:pPr>
            <w:r>
              <w:rPr>
                <w:rFonts w:ascii="Arial" w:cs="Arial" w:eastAsia="Arial" w:hAnsi="Arial"/>
                <w:color w:val="1A1A1A"/>
                <w:sz w:val="19"/>
                <w:szCs w:val="19"/>
              </w:rPr>
              <w:t xml:space="preserve">Engine test cells disconnected from enterprise analytics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$35M in unplanned downtime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No AI Operating Layer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Level 2 maturity: isolated pilots only</w:t>
            </w:r>
          </w:p>
          <w:p>
            <w:pPr>
              <w:spacing w:after="40"/>
            </w:pPr>
            <w:r>
              <w:rPr>
                <w:rFonts w:ascii="Arial" w:cs="Arial" w:eastAsia="Arial" w:hAnsi="Arial"/>
                <w:color w:val="1A1A1A"/>
                <w:sz w:val="19"/>
                <w:szCs w:val="19"/>
              </w:rPr>
              <w:t xml:space="preserve">No model lifecycle management</w:t>
            </w:r>
          </w:p>
          <w:p>
            <w:pPr>
              <w:spacing w:after="40"/>
            </w:pPr>
            <w:r>
              <w:rPr>
                <w:rFonts w:ascii="Arial" w:cs="Arial" w:eastAsia="Arial" w:hAnsi="Arial"/>
                <w:color w:val="1A1A1A"/>
                <w:sz w:val="19"/>
                <w:szCs w:val="19"/>
              </w:rPr>
              <w:t xml:space="preserve">No enterprise AI governance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$62.5M in unrealized value/quarter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Manual Decision-Making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Production scheduling relies on tribal knowledge</w:t>
            </w:r>
          </w:p>
          <w:p>
            <w:pPr>
              <w:spacing w:after="40"/>
            </w:pPr>
            <w:r>
              <w:rPr>
                <w:rFonts w:ascii="Arial" w:cs="Arial" w:eastAsia="Arial" w:hAnsi="Arial"/>
                <w:color w:val="1A1A1A"/>
                <w:sz w:val="19"/>
                <w:szCs w:val="19"/>
              </w:rPr>
              <w:t xml:space="preserve">Defense contract pricing done manually</w:t>
            </w:r>
          </w:p>
          <w:p>
            <w:pPr>
              <w:spacing w:after="40"/>
            </w:pPr>
            <w:r>
              <w:rPr>
                <w:rFonts w:ascii="Arial" w:cs="Arial" w:eastAsia="Arial" w:hAnsi="Arial"/>
                <w:color w:val="1A1A1A"/>
                <w:sz w:val="19"/>
                <w:szCs w:val="19"/>
              </w:rPr>
              <w:t xml:space="preserve">EVMS reporting labor-intensive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$28M in productivity loss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Regulatory Burden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ITAR, EAR, DFARS, NIST 800-171, CMMC</w:t>
            </w:r>
          </w:p>
          <w:p>
            <w:pPr>
              <w:spacing w:after="40"/>
            </w:pPr>
            <w:r>
              <w:rPr>
                <w:rFonts w:ascii="Arial" w:cs="Arial" w:eastAsia="Arial" w:hAnsi="Arial"/>
                <w:color w:val="1A1A1A"/>
                <w:sz w:val="19"/>
                <w:szCs w:val="19"/>
              </w:rPr>
              <w:t xml:space="preserve">SOX, CAS, FAR, AS9100, NADCAP</w:t>
            </w:r>
          </w:p>
          <w:p>
            <w:pPr>
              <w:spacing w:after="40"/>
            </w:pPr>
            <w:r>
              <w:rPr>
                <w:rFonts w:ascii="Arial" w:cs="Arial" w:eastAsia="Arial" w:hAnsi="Arial"/>
                <w:color w:val="1A1A1A"/>
                <w:sz w:val="19"/>
                <w:szCs w:val="19"/>
              </w:rPr>
              <w:t xml:space="preserve">No structured AI governance for compliance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$15M compliance overhead + risk exposure</w:t>
            </w:r>
          </w:p>
        </w:tc>
      </w:tr>
    </w:tbl>
    <w:p>
      <w:pPr>
        <w:spacing w:before="100"/>
      </w:pPr>
    </w:p>
    <w:p>
      <w:pPr>
        <w:spacing w:after="140"/>
      </w:pPr>
      <w:r>
        <w:rPr>
          <w:rFonts w:ascii="Arial" w:cs="Arial" w:eastAsia="Arial" w:hAnsi="Arial"/>
          <w:color w:val="1A1A1A"/>
          <w:sz w:val="22"/>
          <w:szCs w:val="22"/>
        </w:rPr>
        <w:t xml:space="preserve">Total estimated annual cost of inaction: $435M+. Over 5 years, this compounds to $2.2B in lost value, widening competitive gap, and increasing regulatory exposure. HCLTech’s AION addresses all six pain points through a unified, phased transformation.</w:t>
      </w:r>
    </w:p>
    <w:p>
      <w:pPr>
        <w:pStyle w:val="Heading2"/>
      </w:pPr>
      <w:r>
        <w:t xml:space="preserve">2.3 Unstated Needs</w:t>
      </w:r>
    </w:p>
    <w:p>
      <w:pPr>
        <w:spacing w:after="140"/>
      </w:pPr>
      <w:r>
        <w:rPr>
          <w:rFonts w:ascii="Arial" w:cs="Arial" w:eastAsia="Arial" w:hAnsi="Arial"/>
          <w:color w:val="1A1A1A"/>
          <w:sz w:val="22"/>
          <w:szCs w:val="22"/>
        </w:rPr>
        <w:t xml:space="preserve">Beyond the explicit RFP requirements, HCLTech identifies three critical unstated needs based on our 30 years of A&amp;D experience:</w:t>
      </w:r>
    </w:p>
    <w:p>
      <w:pPr>
        <w:spacing w:after="100"/>
      </w:pPr>
      <w:r>
        <w:rPr>
          <w:rFonts w:ascii="Arial" w:cs="Arial" w:eastAsia="Arial" w:hAnsi="Arial"/>
          <w:b/>
          <w:bCs/>
          <w:color w:val="1A1A1A"/>
          <w:sz w:val="22"/>
          <w:szCs w:val="22"/>
        </w:rPr>
        <w:t xml:space="preserve">Post-Merger Cultural Unification: </w:t>
      </w:r>
      <w:r>
        <w:rPr>
          <w:rFonts w:ascii="Arial" w:cs="Arial" w:eastAsia="Arial" w:hAnsi="Arial"/>
          <w:color w:val="1A1A1A"/>
          <w:sz w:val="22"/>
          <w:szCs w:val="22"/>
        </w:rPr>
        <w:t xml:space="preserve">Three segment cultures operating in parallel. AI adoption requires a shared operating model, not just shared technology. Our change management approach addresses this directly.</w:t>
      </w:r>
    </w:p>
    <w:p>
      <w:pPr>
        <w:spacing w:after="100"/>
      </w:pPr>
      <w:r>
        <w:rPr>
          <w:rFonts w:ascii="Arial" w:cs="Arial" w:eastAsia="Arial" w:hAnsi="Arial"/>
          <w:b/>
          <w:bCs/>
          <w:color w:val="1A1A1A"/>
          <w:sz w:val="22"/>
          <w:szCs w:val="22"/>
        </w:rPr>
        <w:t xml:space="preserve">Classified Environment AI Governance: </w:t>
      </w:r>
      <w:r>
        <w:rPr>
          <w:rFonts w:ascii="Arial" w:cs="Arial" w:eastAsia="Arial" w:hAnsi="Arial"/>
          <w:color w:val="1A1A1A"/>
          <w:sz w:val="22"/>
          <w:szCs w:val="22"/>
        </w:rPr>
        <w:t xml:space="preserve">RTX operates across SIPR/JWICS classified networks. No AI operating system succeeds without a CMMC-compliant, ITAR-governed framework that allows AI to operate across classification boundaries with appropriate data handling.</w:t>
      </w:r>
    </w:p>
    <w:p>
      <w:pPr>
        <w:spacing w:after="100"/>
      </w:pPr>
      <w:r>
        <w:rPr>
          <w:rFonts w:ascii="Arial" w:cs="Arial" w:eastAsia="Arial" w:hAnsi="Arial"/>
          <w:b/>
          <w:bCs/>
          <w:color w:val="1A1A1A"/>
          <w:sz w:val="22"/>
          <w:szCs w:val="22"/>
        </w:rPr>
        <w:t xml:space="preserve">Aftermarket Revenue Acceleration: </w:t>
      </w:r>
      <w:r>
        <w:rPr>
          <w:rFonts w:ascii="Arial" w:cs="Arial" w:eastAsia="Arial" w:hAnsi="Arial"/>
          <w:color w:val="1A1A1A"/>
          <w:sz w:val="22"/>
          <w:szCs w:val="22"/>
        </w:rPr>
        <w:t xml:space="preserve">Pratt &amp; Whitney’s engine MRO aftermarket is a $10B+ opportunity. Connecting engine health monitoring data to commercial pricing optimization is the highest-ROI use case that crosses the OT/IT boundary.</w:t>
      </w:r>
    </w:p>
    <w:p>
      <w:r>
        <w:br w:type="page"/>
      </w:r>
    </w:p>
    <w:p>
      <w:pPr>
        <w:pStyle w:val="Heading1"/>
      </w:pPr>
      <w:r>
        <w:t xml:space="preserve">Section 3: Proposed Solution &amp; Technical Architecture</w:t>
      </w:r>
    </w:p>
    <w:p>
      <w:pPr>
        <w:pStyle w:val="Heading2"/>
      </w:pPr>
      <w:r>
        <w:t xml:space="preserve">3.1 AION: The Enterprise AI Operating System</w:t>
      </w:r>
    </w:p>
    <w:p>
      <w:pPr>
        <w:spacing w:after="140"/>
      </w:pPr>
      <w:r>
        <w:rPr>
          <w:rFonts w:ascii="Arial" w:cs="Arial" w:eastAsia="Arial" w:hAnsi="Arial"/>
          <w:color w:val="1A1A1A"/>
          <w:sz w:val="22"/>
          <w:szCs w:val="22"/>
        </w:rPr>
        <w:t xml:space="preserve">AION (AI-Enabled Operating Network) is a seven-layer Enterprise AI Operating System purpose-built for RTX’s aerospace and defense operating environment. It transforms RTX from fragmented AI experimentation to a unified, governed, production-grade AI platform spanning all three business segments.</w:t>
      </w:r>
    </w:p>
    <w:p>
      <w:pPr>
        <w:pStyle w:val="Heading2"/>
      </w:pPr>
      <w:r>
        <w:t xml:space="preserve">3.2 Seven-Layer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RTX Implementation</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L7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Experience Layer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Role-based dashboards: Executive Command Center, Plant Operations View, Supply Chain Nerve Center</w:t>
            </w:r>
          </w:p>
          <w:p>
            <w:pPr>
              <w:spacing w:after="40"/>
            </w:pPr>
            <w:r>
              <w:rPr>
                <w:rFonts w:ascii="Arial" w:cs="Arial" w:eastAsia="Arial" w:hAnsi="Arial"/>
                <w:color w:val="1A1A1A"/>
                <w:sz w:val="19"/>
                <w:szCs w:val="19"/>
              </w:rPr>
              <w:t xml:space="preserve">Natural language interface via AI Force for SAP queries, maintenance scheduling, contract analysis</w:t>
            </w:r>
          </w:p>
          <w:p>
            <w:pPr>
              <w:spacing w:after="40"/>
            </w:pPr>
            <w:r>
              <w:rPr>
                <w:rFonts w:ascii="Arial" w:cs="Arial" w:eastAsia="Arial" w:hAnsi="Arial"/>
                <w:color w:val="1A1A1A"/>
                <w:sz w:val="19"/>
                <w:szCs w:val="19"/>
              </w:rPr>
              <w:t xml:space="preserve">AR/VR overlay for Pratt &amp; Whitney engine maintenance guidance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L6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Intelligence Layer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AI Force agentic orchestration: multi-agent system across 6 functional domains</w:t>
            </w:r>
          </w:p>
          <w:p>
            <w:pPr>
              <w:spacing w:after="40"/>
            </w:pPr>
            <w:r>
              <w:rPr>
                <w:rFonts w:ascii="Arial" w:cs="Arial" w:eastAsia="Arial" w:hAnsi="Arial"/>
                <w:color w:val="1A1A1A"/>
                <w:sz w:val="19"/>
                <w:szCs w:val="19"/>
              </w:rPr>
              <w:t xml:space="preserve">Domain agents: Manufacturing Quality Agent, Supply Chain Risk Agent, Contract Pricing Agent, EVMS Agent, Clearance Pipeline Agent, Cyber Threat Agent</w:t>
            </w:r>
          </w:p>
          <w:p>
            <w:pPr>
              <w:spacing w:after="40"/>
            </w:pPr>
            <w:r>
              <w:rPr>
                <w:rFonts w:ascii="Arial" w:cs="Arial" w:eastAsia="Arial" w:hAnsi="Arial"/>
                <w:color w:val="1A1A1A"/>
                <w:sz w:val="19"/>
                <w:szCs w:val="19"/>
              </w:rPr>
              <w:t xml:space="preserve">Human-in-the-loop governance for Tier 1 (safety-critical) and Tier 2 (financial/regulatory) decisions</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L5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Analytics Layer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AI Foundry data-to-dollar value chain: raw data to business outcome in governed pipeline</w:t>
            </w:r>
          </w:p>
          <w:p>
            <w:pPr>
              <w:spacing w:after="40"/>
            </w:pPr>
            <w:r>
              <w:rPr>
                <w:rFonts w:ascii="Arial" w:cs="Arial" w:eastAsia="Arial" w:hAnsi="Arial"/>
                <w:color w:val="1A1A1A"/>
                <w:sz w:val="19"/>
                <w:szCs w:val="19"/>
              </w:rPr>
              <w:t xml:space="preserve">Predictive models: engine blade quality, supply chain risk, demand forecasting, financial close</w:t>
            </w:r>
          </w:p>
          <w:p>
            <w:pPr>
              <w:spacing w:after="40"/>
            </w:pPr>
            <w:r>
              <w:rPr>
                <w:rFonts w:ascii="Arial" w:cs="Arial" w:eastAsia="Arial" w:hAnsi="Arial"/>
                <w:color w:val="1A1A1A"/>
                <w:sz w:val="19"/>
                <w:szCs w:val="19"/>
              </w:rPr>
              <w:t xml:space="preserve">MLOps pipeline: model registry, drift detection, A/B testing, automated retraining</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L4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Data Platform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Unified data lake on Microsoft Azure (ITAR-compliant Azure Government regions)</w:t>
            </w:r>
          </w:p>
          <w:p>
            <w:pPr>
              <w:spacing w:after="40"/>
            </w:pPr>
            <w:r>
              <w:rPr>
                <w:rFonts w:ascii="Arial" w:cs="Arial" w:eastAsia="Arial" w:hAnsi="Arial"/>
                <w:color w:val="1A1A1A"/>
                <w:sz w:val="19"/>
                <w:szCs w:val="19"/>
              </w:rPr>
              <w:t xml:space="preserve">Real-time streaming: OPC-UA/MQTT from 250,000+ OT tags through Azure IoT Hub</w:t>
            </w:r>
          </w:p>
          <w:p>
            <w:pPr>
              <w:spacing w:after="40"/>
            </w:pPr>
            <w:r>
              <w:rPr>
                <w:rFonts w:ascii="Arial" w:cs="Arial" w:eastAsia="Arial" w:hAnsi="Arial"/>
                <w:color w:val="1A1A1A"/>
                <w:sz w:val="19"/>
                <w:szCs w:val="19"/>
              </w:rPr>
              <w:t xml:space="preserve">Master data governance across 3 segments: product, supplier, customer, financial master data</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L3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Integration Layer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SAP BTP Integration Suite for ECC/S4HANA connectivity (BAPIs, IDocs, RFCs)</w:t>
            </w:r>
          </w:p>
          <w:p>
            <w:pPr>
              <w:spacing w:after="40"/>
            </w:pPr>
            <w:r>
              <w:rPr>
                <w:rFonts w:ascii="Arial" w:cs="Arial" w:eastAsia="Arial" w:hAnsi="Arial"/>
                <w:color w:val="1A1A1A"/>
                <w:sz w:val="19"/>
                <w:szCs w:val="19"/>
              </w:rPr>
              <w:t xml:space="preserve">API management layer for 500+ application integration and rationalization</w:t>
            </w:r>
          </w:p>
          <w:p>
            <w:pPr>
              <w:spacing w:after="40"/>
            </w:pPr>
            <w:r>
              <w:rPr>
                <w:rFonts w:ascii="Arial" w:cs="Arial" w:eastAsia="Arial" w:hAnsi="Arial"/>
                <w:color w:val="1A1A1A"/>
                <w:sz w:val="19"/>
                <w:szCs w:val="19"/>
              </w:rPr>
              <w:t xml:space="preserve">Classified/unclassified data boundary gateway with CMMC-compliant data handling</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L2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Platform Layer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Microsoft Azure Government (primary) + Azure Commercial (non-ITAR workloads)</w:t>
            </w:r>
          </w:p>
          <w:p>
            <w:pPr>
              <w:spacing w:after="40"/>
            </w:pPr>
            <w:r>
              <w:rPr>
                <w:rFonts w:ascii="Arial" w:cs="Arial" w:eastAsia="Arial" w:hAnsi="Arial"/>
                <w:color w:val="1A1A1A"/>
                <w:sz w:val="19"/>
                <w:szCs w:val="19"/>
              </w:rPr>
              <w:t xml:space="preserve">Edge compute: Azure Stack HCI at 500+ facilities for real-time manufacturing AI</w:t>
            </w:r>
          </w:p>
          <w:p>
            <w:pPr>
              <w:spacing w:after="40"/>
            </w:pPr>
            <w:r>
              <w:rPr>
                <w:rFonts w:ascii="Arial" w:cs="Arial" w:eastAsia="Arial" w:hAnsi="Arial"/>
                <w:color w:val="1A1A1A"/>
                <w:sz w:val="19"/>
                <w:szCs w:val="19"/>
              </w:rPr>
              <w:t xml:space="preserve">SAP BTP for enterprise application extension and custom program modernization</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L1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Infrastructure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Hybrid: Azure Government cloud + on-premises (classified environments) + edge (plant floor)</w:t>
            </w:r>
          </w:p>
          <w:p>
            <w:pPr>
              <w:spacing w:after="40"/>
            </w:pPr>
            <w:r>
              <w:rPr>
                <w:rFonts w:ascii="Arial" w:cs="Arial" w:eastAsia="Arial" w:hAnsi="Arial"/>
                <w:color w:val="1A1A1A"/>
                <w:sz w:val="19"/>
                <w:szCs w:val="19"/>
              </w:rPr>
              <w:t xml:space="preserve">Zero-trust security architecture spanning IT/OT boundary</w:t>
            </w:r>
          </w:p>
          <w:p>
            <w:pPr>
              <w:spacing w:after="40"/>
            </w:pPr>
            <w:r>
              <w:rPr>
                <w:rFonts w:ascii="Arial" w:cs="Arial" w:eastAsia="Arial" w:hAnsi="Arial"/>
                <w:color w:val="1A1A1A"/>
                <w:sz w:val="19"/>
                <w:szCs w:val="19"/>
              </w:rPr>
              <w:t xml:space="preserve">ITAR data residency: US-only for controlled data; allied nation facilities per ITAR exemptions</w:t>
            </w:r>
          </w:p>
        </w:tc>
      </w:tr>
    </w:tbl>
    <w:p>
      <w:pPr>
        <w:pStyle w:val="Heading2"/>
      </w:pPr>
      <w:r>
        <w:t xml:space="preserve">3.3 AI Model Stack</w:t>
      </w:r>
    </w:p>
    <w:p>
      <w:pPr>
        <w:spacing w:after="140"/>
      </w:pPr>
      <w:r>
        <w:rPr>
          <w:rFonts w:ascii="Arial" w:cs="Arial" w:eastAsia="Arial" w:hAnsi="Arial"/>
          <w:color w:val="1A1A1A"/>
          <w:sz w:val="22"/>
          <w:szCs w:val="22"/>
        </w:rPr>
        <w:t xml:space="preserve">AION deploys a multi-model AI architecture, selecting the right model class for each use case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Model Class</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Governance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Large Language Models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Contract analysis, EVMS reporting, knowledge 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OpenAI (ITAR-compliant)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 2: Financial/Regulatory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Computer Vision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Engine blade inspection, missile assembly QA, corrosion detection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Edge (Azure Stack HCI at plant)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 1: Safety-Critical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Time-Series / Predictive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Equipment failure prediction, demand forecasting, EAC prediction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ML + edge inference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 1-2 (context dependent)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Agentic AI (AI Force)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Multi-domain orchestration, autonomous workflow, decision routing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Government + AI Force runtime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Tiered per agent 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Optimization Models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Production scheduling, supply chain routing, pricing optimization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ML Compute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 2-3</w:t>
            </w:r>
          </w:p>
        </w:tc>
      </w:tr>
    </w:tbl>
    <w:p>
      <w:pPr>
        <w:pStyle w:val="Heading2"/>
      </w:pPr>
      <w:r>
        <w:t xml:space="preserve">3.4 Platform Justification: Why Microsoft Azure</w:t>
      </w:r>
    </w:p>
    <w:p>
      <w:pPr>
        <w:spacing w:after="140"/>
      </w:pPr>
      <w:r>
        <w:rPr>
          <w:rFonts w:ascii="Arial" w:cs="Arial" w:eastAsia="Arial" w:hAnsi="Arial"/>
          <w:color w:val="1A1A1A"/>
          <w:sz w:val="22"/>
          <w:szCs w:val="22"/>
        </w:rPr>
        <w:t xml:space="preserve">HCLTech recommends Microsoft Azure as the primary cloud platform for AION based on five RTX-specific factors:</w:t>
      </w:r>
    </w:p>
    <w:p>
      <w:pPr>
        <w:spacing w:after="100"/>
      </w:pPr>
      <w:r>
        <w:rPr>
          <w:rFonts w:ascii="Arial" w:cs="Arial" w:eastAsia="Arial" w:hAnsi="Arial"/>
          <w:b/>
          <w:bCs/>
          <w:color w:val="1A1A1A"/>
          <w:sz w:val="22"/>
          <w:szCs w:val="22"/>
        </w:rPr>
        <w:t xml:space="preserve">ITAR Compliance: </w:t>
      </w:r>
      <w:r>
        <w:rPr>
          <w:rFonts w:ascii="Arial" w:cs="Arial" w:eastAsia="Arial" w:hAnsi="Arial"/>
          <w:color w:val="1A1A1A"/>
          <w:sz w:val="22"/>
          <w:szCs w:val="22"/>
        </w:rPr>
        <w:t xml:space="preserve">Azure Government holds DoD Impact Level 5 authorization, supporting ITAR-controlled workloads with US-person-only administered infrastructure. No other hyperscaler matches this depth for defense AI workloads.</w:t>
      </w:r>
    </w:p>
    <w:p>
      <w:pPr>
        <w:spacing w:after="100"/>
      </w:pPr>
      <w:r>
        <w:rPr>
          <w:rFonts w:ascii="Arial" w:cs="Arial" w:eastAsia="Arial" w:hAnsi="Arial"/>
          <w:b/>
          <w:bCs/>
          <w:color w:val="1A1A1A"/>
          <w:sz w:val="22"/>
          <w:szCs w:val="22"/>
        </w:rPr>
        <w:t xml:space="preserve">SAP Integration: </w:t>
      </w:r>
      <w:r>
        <w:rPr>
          <w:rFonts w:ascii="Arial" w:cs="Arial" w:eastAsia="Arial" w:hAnsi="Arial"/>
          <w:color w:val="1A1A1A"/>
          <w:sz w:val="22"/>
          <w:szCs w:val="22"/>
        </w:rPr>
        <w:t xml:space="preserve">Azure is a strategic SAP partner with native S/4HANA support. RTX’s planned S/4HANA consolidation aligns directly with Azure’s certified SAP landscape.</w:t>
      </w:r>
    </w:p>
    <w:p>
      <w:pPr>
        <w:spacing w:after="100"/>
      </w:pPr>
      <w:r>
        <w:rPr>
          <w:rFonts w:ascii="Arial" w:cs="Arial" w:eastAsia="Arial" w:hAnsi="Arial"/>
          <w:b/>
          <w:bCs/>
          <w:color w:val="1A1A1A"/>
          <w:sz w:val="22"/>
          <w:szCs w:val="22"/>
        </w:rPr>
        <w:t xml:space="preserve">Edge-to-Cloud: </w:t>
      </w:r>
      <w:r>
        <w:rPr>
          <w:rFonts w:ascii="Arial" w:cs="Arial" w:eastAsia="Arial" w:hAnsi="Arial"/>
          <w:color w:val="1A1A1A"/>
          <w:sz w:val="22"/>
          <w:szCs w:val="22"/>
        </w:rPr>
        <w:t xml:space="preserve">Azure Stack HCI enables consistent AI deployment from cloud to plant floor across 500+ facilities, with a single management plane.</w:t>
      </w:r>
    </w:p>
    <w:p>
      <w:pPr>
        <w:spacing w:after="100"/>
      </w:pPr>
      <w:r>
        <w:rPr>
          <w:rFonts w:ascii="Arial" w:cs="Arial" w:eastAsia="Arial" w:hAnsi="Arial"/>
          <w:b/>
          <w:bCs/>
          <w:color w:val="1A1A1A"/>
          <w:sz w:val="22"/>
          <w:szCs w:val="22"/>
        </w:rPr>
        <w:t xml:space="preserve">HCLTech Partnership: </w:t>
      </w:r>
      <w:r>
        <w:rPr>
          <w:rFonts w:ascii="Arial" w:cs="Arial" w:eastAsia="Arial" w:hAnsi="Arial"/>
          <w:color w:val="1A1A1A"/>
          <w:sz w:val="22"/>
          <w:szCs w:val="22"/>
        </w:rPr>
        <w:t xml:space="preserve">HCLTech maintains a deep strategic alliance with Microsoft, with dedicated Azure practices and co-innovation labs. Our AI Force platform is natively integrated with Azure OpenAI and Azure ML.</w:t>
      </w:r>
    </w:p>
    <w:p>
      <w:pPr>
        <w:spacing w:after="100"/>
      </w:pPr>
      <w:r>
        <w:rPr>
          <w:rFonts w:ascii="Arial" w:cs="Arial" w:eastAsia="Arial" w:hAnsi="Arial"/>
          <w:b/>
          <w:bCs/>
          <w:color w:val="1A1A1A"/>
          <w:sz w:val="22"/>
          <w:szCs w:val="22"/>
        </w:rPr>
        <w:t xml:space="preserve">Total Cost of Ownership: </w:t>
      </w:r>
      <w:r>
        <w:rPr>
          <w:rFonts w:ascii="Arial" w:cs="Arial" w:eastAsia="Arial" w:hAnsi="Arial"/>
          <w:color w:val="1A1A1A"/>
          <w:sz w:val="22"/>
          <w:szCs w:val="22"/>
        </w:rPr>
        <w:t xml:space="preserve">Azure Government licensing for RTX’s scale produces 15-20% TCO advantage over equivalent AWS GovCloud configurations, based on HCLTech benchmark data from comparable A&amp;D engagements.</w:t>
      </w:r>
    </w:p>
    <w:p>
      <w:r>
        <w:br w:type="page"/>
      </w:r>
    </w:p>
    <w:p>
      <w:pPr>
        <w:pStyle w:val="Heading1"/>
      </w:pPr>
      <w:r>
        <w:t xml:space="preserve">Section 4: Implementation Roadmap</w:t>
      </w:r>
    </w:p>
    <w:p>
      <w:pPr>
        <w:pStyle w:val="Heading2"/>
      </w:pPr>
      <w:r>
        <w:t xml:space="preserve">4.1 Five-Year Phased Approach</w:t>
      </w:r>
    </w:p>
    <w:p>
      <w:pPr>
        <w:spacing w:after="140"/>
      </w:pPr>
      <w:r>
        <w:rPr>
          <w:rFonts w:ascii="Arial" w:cs="Arial" w:eastAsia="Arial" w:hAnsi="Arial"/>
          <w:color w:val="1A1A1A"/>
          <w:sz w:val="22"/>
          <w:szCs w:val="22"/>
        </w:rPr>
        <w:t xml:space="preserve">AION deployment follows a four-wave model across 60 months, designed to deliver measurable value from Day 90 while building toward full enterprise AI operations by Year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1600"/>
        <w:gridCol w:w="1560"/>
      </w:tblGrid>
      <w:tr>
        <w:tc>
          <w:tcPr>
            <w:tcW w:type="dxa" w:w="1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Wave</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Investment</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 Unlocked</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Wave 0: Discover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AI readiness assessment across 6 domains</w:t>
            </w:r>
          </w:p>
          <w:p>
            <w:pPr>
              <w:spacing w:after="40"/>
            </w:pPr>
            <w:r>
              <w:rPr>
                <w:rFonts w:ascii="Arial" w:cs="Arial" w:eastAsia="Arial" w:hAnsi="Arial"/>
                <w:color w:val="1A1A1A"/>
                <w:sz w:val="19"/>
                <w:szCs w:val="19"/>
              </w:rPr>
              <w:t xml:space="preserve">100+ use case backlog scored and ranked</w:t>
            </w:r>
          </w:p>
          <w:p>
            <w:pPr>
              <w:spacing w:after="40"/>
            </w:pPr>
            <w:r>
              <w:rPr>
                <w:rFonts w:ascii="Arial" w:cs="Arial" w:eastAsia="Arial" w:hAnsi="Arial"/>
                <w:color w:val="1A1A1A"/>
                <w:sz w:val="19"/>
                <w:szCs w:val="19"/>
              </w:rPr>
              <w:t xml:space="preserve">As-Is architecture mapping (all 6 views)</w:t>
            </w:r>
          </w:p>
          <w:p>
            <w:pPr>
              <w:spacing w:after="40"/>
            </w:pPr>
            <w:r>
              <w:rPr>
                <w:rFonts w:ascii="Arial" w:cs="Arial" w:eastAsia="Arial" w:hAnsi="Arial"/>
                <w:color w:val="1A1A1A"/>
                <w:sz w:val="19"/>
                <w:szCs w:val="19"/>
              </w:rPr>
              <w:t xml:space="preserve">Quick win deployment: P&amp;W blade quality AI</w:t>
            </w:r>
          </w:p>
          <w:p>
            <w:pPr>
              <w:spacing w:after="40"/>
            </w:pPr>
            <w:r>
              <w:rPr>
                <w:rFonts w:ascii="Arial" w:cs="Arial" w:eastAsia="Arial" w:hAnsi="Arial"/>
                <w:color w:val="1A1A1A"/>
                <w:sz w:val="19"/>
                <w:szCs w:val="19"/>
              </w:rPr>
              <w:t xml:space="preserve">Responsible AI policy co-designed with RTX legal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$8.5M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9966"/>
                <w:sz w:val="20"/>
                <w:szCs w:val="20"/>
              </w:rPr>
              <w:t xml:space="preserve">$18M/yr from quick win</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Wave 1: Foundation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4-12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AION platform build on Azure Government</w:t>
            </w:r>
          </w:p>
          <w:p>
            <w:pPr>
              <w:spacing w:after="40"/>
            </w:pPr>
            <w:r>
              <w:rPr>
                <w:rFonts w:ascii="Arial" w:cs="Arial" w:eastAsia="Arial" w:hAnsi="Arial"/>
                <w:color w:val="1A1A1A"/>
                <w:sz w:val="19"/>
                <w:szCs w:val="19"/>
              </w:rPr>
              <w:t xml:space="preserve">Data lake + integration layer for top 3 segments</w:t>
            </w:r>
          </w:p>
          <w:p>
            <w:pPr>
              <w:spacing w:after="40"/>
            </w:pPr>
            <w:r>
              <w:rPr>
                <w:rFonts w:ascii="Arial" w:cs="Arial" w:eastAsia="Arial" w:hAnsi="Arial"/>
                <w:color w:val="1A1A1A"/>
                <w:sz w:val="19"/>
                <w:szCs w:val="19"/>
              </w:rPr>
              <w:t xml:space="preserve">12 priority AI use cases into production</w:t>
            </w:r>
          </w:p>
          <w:p>
            <w:pPr>
              <w:spacing w:after="40"/>
            </w:pPr>
            <w:r>
              <w:rPr>
                <w:rFonts w:ascii="Arial" w:cs="Arial" w:eastAsia="Arial" w:hAnsi="Arial"/>
                <w:color w:val="1A1A1A"/>
                <w:sz w:val="19"/>
                <w:szCs w:val="19"/>
              </w:rPr>
              <w:t xml:space="preserve">CoE established (80% HCLTech / 20% RTX)</w:t>
            </w:r>
          </w:p>
          <w:p>
            <w:pPr>
              <w:spacing w:after="40"/>
            </w:pPr>
            <w:r>
              <w:rPr>
                <w:rFonts w:ascii="Arial" w:cs="Arial" w:eastAsia="Arial" w:hAnsi="Arial"/>
                <w:color w:val="1A1A1A"/>
                <w:sz w:val="19"/>
                <w:szCs w:val="19"/>
              </w:rPr>
              <w:t xml:space="preserve">AI Playbook v1.0 published</w:t>
            </w:r>
          </w:p>
          <w:p>
            <w:pPr>
              <w:spacing w:after="40"/>
            </w:pPr>
            <w:r>
              <w:rPr>
                <w:rFonts w:ascii="Arial" w:cs="Arial" w:eastAsia="Arial" w:hAnsi="Arial"/>
                <w:color w:val="1A1A1A"/>
                <w:sz w:val="19"/>
                <w:szCs w:val="19"/>
              </w:rPr>
              <w:t xml:space="preserve">Change management: stakeholder mapping complete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$32M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9966"/>
                <w:sz w:val="20"/>
                <w:szCs w:val="20"/>
              </w:rPr>
              <w:t xml:space="preserve">$45M cumulative</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Wave 2: Scale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13-24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30+ AI use cases across all 6 domains</w:t>
            </w:r>
          </w:p>
          <w:p>
            <w:pPr>
              <w:spacing w:after="40"/>
            </w:pPr>
            <w:r>
              <w:rPr>
                <w:rFonts w:ascii="Arial" w:cs="Arial" w:eastAsia="Arial" w:hAnsi="Arial"/>
                <w:color w:val="1A1A1A"/>
                <w:sz w:val="19"/>
                <w:szCs w:val="19"/>
              </w:rPr>
              <w:t xml:space="preserve">Agentic AI orchestration live (AI Force)</w:t>
            </w:r>
          </w:p>
          <w:p>
            <w:pPr>
              <w:spacing w:after="40"/>
            </w:pPr>
            <w:r>
              <w:rPr>
                <w:rFonts w:ascii="Arial" w:cs="Arial" w:eastAsia="Arial" w:hAnsi="Arial"/>
                <w:color w:val="1A1A1A"/>
                <w:sz w:val="19"/>
                <w:szCs w:val="19"/>
              </w:rPr>
              <w:t xml:space="preserve">OT/IT convergence: 250K tags connected</w:t>
            </w:r>
          </w:p>
          <w:p>
            <w:pPr>
              <w:spacing w:after="40"/>
            </w:pPr>
            <w:r>
              <w:rPr>
                <w:rFonts w:ascii="Arial" w:cs="Arial" w:eastAsia="Arial" w:hAnsi="Arial"/>
                <w:color w:val="1A1A1A"/>
                <w:sz w:val="19"/>
                <w:szCs w:val="19"/>
              </w:rPr>
              <w:t xml:space="preserve">S/4HANA migration support integrated</w:t>
            </w:r>
          </w:p>
          <w:p>
            <w:pPr>
              <w:spacing w:after="40"/>
            </w:pPr>
            <w:r>
              <w:rPr>
                <w:rFonts w:ascii="Arial" w:cs="Arial" w:eastAsia="Arial" w:hAnsi="Arial"/>
                <w:color w:val="1A1A1A"/>
                <w:sz w:val="19"/>
                <w:szCs w:val="19"/>
              </w:rPr>
              <w:t xml:space="preserve">CoE transition: 60% RTX / 40% HCLTech</w:t>
            </w:r>
          </w:p>
          <w:p>
            <w:pPr>
              <w:spacing w:after="40"/>
            </w:pPr>
            <w:r>
              <w:rPr>
                <w:rFonts w:ascii="Arial" w:cs="Arial" w:eastAsia="Arial" w:hAnsi="Arial"/>
                <w:color w:val="1A1A1A"/>
                <w:sz w:val="19"/>
                <w:szCs w:val="19"/>
              </w:rPr>
              <w:t xml:space="preserve">50+ certified AI practitioners at RTX</w:t>
            </w:r>
          </w:p>
          <w:p>
            <w:pPr>
              <w:spacing w:after="40"/>
            </w:pPr>
            <w:r>
              <w:rPr>
                <w:rFonts w:ascii="Arial" w:cs="Arial" w:eastAsia="Arial" w:hAnsi="Arial"/>
                <w:color w:val="1A1A1A"/>
                <w:sz w:val="19"/>
                <w:szCs w:val="19"/>
              </w:rPr>
              <w:t xml:space="preserve">App rationalization: 500 reduced to 250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$38M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9966"/>
                <w:sz w:val="20"/>
                <w:szCs w:val="20"/>
              </w:rPr>
              <w:t xml:space="preserve">$120M cumulative</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Wave 3: Optimize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25-36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50+ AI use cases in production</w:t>
            </w:r>
          </w:p>
          <w:p>
            <w:pPr>
              <w:spacing w:after="40"/>
            </w:pPr>
            <w:r>
              <w:rPr>
                <w:rFonts w:ascii="Arial" w:cs="Arial" w:eastAsia="Arial" w:hAnsi="Arial"/>
                <w:color w:val="1A1A1A"/>
                <w:sz w:val="19"/>
                <w:szCs w:val="19"/>
              </w:rPr>
              <w:t xml:space="preserve">Autonomous operations for Tier 3 decisions</w:t>
            </w:r>
          </w:p>
          <w:p>
            <w:pPr>
              <w:spacing w:after="40"/>
            </w:pPr>
            <w:r>
              <w:rPr>
                <w:rFonts w:ascii="Arial" w:cs="Arial" w:eastAsia="Arial" w:hAnsi="Arial"/>
                <w:color w:val="1A1A1A"/>
                <w:sz w:val="19"/>
                <w:szCs w:val="19"/>
              </w:rPr>
              <w:t xml:space="preserve">CoE fully RTX-owned (80% RTX / 20% HCLTech)</w:t>
            </w:r>
          </w:p>
          <w:p>
            <w:pPr>
              <w:spacing w:after="40"/>
            </w:pPr>
            <w:r>
              <w:rPr>
                <w:rFonts w:ascii="Arial" w:cs="Arial" w:eastAsia="Arial" w:hAnsi="Arial"/>
                <w:color w:val="1A1A1A"/>
                <w:sz w:val="19"/>
                <w:szCs w:val="19"/>
              </w:rPr>
              <w:t xml:space="preserve">App rationalization target: 120-180 core apps</w:t>
            </w:r>
          </w:p>
          <w:p>
            <w:pPr>
              <w:spacing w:after="40"/>
            </w:pPr>
            <w:r>
              <w:rPr>
                <w:rFonts w:ascii="Arial" w:cs="Arial" w:eastAsia="Arial" w:hAnsi="Arial"/>
                <w:color w:val="1A1A1A"/>
                <w:sz w:val="19"/>
                <w:szCs w:val="19"/>
              </w:rPr>
              <w:t xml:space="preserve">IT maintenance budget: 62% reduced to 38%</w:t>
            </w:r>
          </w:p>
          <w:p>
            <w:pPr>
              <w:spacing w:after="40"/>
            </w:pPr>
            <w:r>
              <w:rPr>
                <w:rFonts w:ascii="Arial" w:cs="Arial" w:eastAsia="Arial" w:hAnsi="Arial"/>
                <w:color w:val="1A1A1A"/>
                <w:sz w:val="19"/>
                <w:szCs w:val="19"/>
              </w:rPr>
              <w:t xml:space="preserve">Board AI Dashboard live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$28M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9966"/>
                <w:sz w:val="20"/>
                <w:szCs w:val="20"/>
              </w:rPr>
              <w:t xml:space="preserve">$250M cumulative</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Wave 4: Evolve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37-60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Managed services + continuous innovation</w:t>
            </w:r>
          </w:p>
          <w:p>
            <w:pPr>
              <w:spacing w:after="40"/>
            </w:pPr>
            <w:r>
              <w:rPr>
                <w:rFonts w:ascii="Arial" w:cs="Arial" w:eastAsia="Arial" w:hAnsi="Arial"/>
                <w:color w:val="1A1A1A"/>
                <w:sz w:val="19"/>
                <w:szCs w:val="19"/>
              </w:rPr>
              <w:t xml:space="preserve">Innovation fund: AR/VR, robotics, Physical AI</w:t>
            </w:r>
          </w:p>
          <w:p>
            <w:pPr>
              <w:spacing w:after="40"/>
            </w:pPr>
            <w:r>
              <w:rPr>
                <w:rFonts w:ascii="Arial" w:cs="Arial" w:eastAsia="Arial" w:hAnsi="Arial"/>
                <w:color w:val="1A1A1A"/>
                <w:sz w:val="19"/>
                <w:szCs w:val="19"/>
              </w:rPr>
              <w:t xml:space="preserve">Full enterprise AI operations across RTX</w:t>
            </w:r>
          </w:p>
          <w:p>
            <w:pPr>
              <w:spacing w:after="40"/>
            </w:pPr>
            <w:r>
              <w:rPr>
                <w:rFonts w:ascii="Arial" w:cs="Arial" w:eastAsia="Arial" w:hAnsi="Arial"/>
                <w:color w:val="1A1A1A"/>
                <w:sz w:val="19"/>
                <w:szCs w:val="19"/>
              </w:rPr>
              <w:t xml:space="preserve">Annual Technology Futures Report</w:t>
            </w:r>
          </w:p>
          <w:p>
            <w:pPr>
              <w:spacing w:after="40"/>
            </w:pPr>
            <w:r>
              <w:rPr>
                <w:rFonts w:ascii="Arial" w:cs="Arial" w:eastAsia="Arial" w:hAnsi="Arial"/>
                <w:color w:val="1A1A1A"/>
                <w:sz w:val="19"/>
                <w:szCs w:val="19"/>
              </w:rPr>
              <w:t xml:space="preserve">Quarterly innovation sprints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$35.5M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9966"/>
                <w:sz w:val="20"/>
                <w:szCs w:val="20"/>
              </w:rPr>
              <w:t xml:space="preserve">$487M cumulative</w:t>
            </w:r>
          </w:p>
        </w:tc>
      </w:tr>
    </w:tbl>
    <w:p>
      <w:pPr>
        <w:pStyle w:val="Heading2"/>
      </w:pPr>
      <w:r>
        <w:t xml:space="preserve">4.2 90-Day Quick Win: Pratt &amp; Whitney Engine Blade Predictive Quality</w:t>
      </w:r>
    </w:p>
    <w:p>
      <w:pPr>
        <w:spacing w:after="140"/>
      </w:pPr>
      <w:r>
        <w:rPr>
          <w:rFonts w:ascii="Arial" w:cs="Arial" w:eastAsia="Arial" w:hAnsi="Arial"/>
          <w:color w:val="1A1A1A"/>
          <w:sz w:val="22"/>
          <w:szCs w:val="22"/>
        </w:rPr>
        <w:t xml:space="preserve">Within the first 90 days, HCLTech deploys a production-ready predictive quality system for Pratt &amp; Whitney’s GTF engine blade manufacturing. This single use case demonstrates AION’s full value chain:</w:t>
      </w:r>
    </w:p>
    <w:p>
      <w:pPr>
        <w:spacing w:after="100"/>
      </w:pPr>
      <w:r>
        <w:rPr>
          <w:rFonts w:ascii="Arial" w:cs="Arial" w:eastAsia="Arial" w:hAnsi="Arial"/>
          <w:b/>
          <w:bCs/>
          <w:color w:val="1A1A1A"/>
          <w:sz w:val="22"/>
          <w:szCs w:val="22"/>
        </w:rPr>
        <w:t xml:space="preserve">Data Source: </w:t>
      </w:r>
      <w:r>
        <w:rPr>
          <w:rFonts w:ascii="Arial" w:cs="Arial" w:eastAsia="Arial" w:hAnsi="Arial"/>
          <w:color w:val="1A1A1A"/>
          <w:sz w:val="22"/>
          <w:szCs w:val="22"/>
        </w:rPr>
        <w:t xml:space="preserve">CNC machining center sensor data (vibration, temperature, tool wear) + quality inspection records from existing MES</w:t>
      </w:r>
    </w:p>
    <w:p>
      <w:pPr>
        <w:spacing w:after="100"/>
      </w:pPr>
      <w:r>
        <w:rPr>
          <w:rFonts w:ascii="Arial" w:cs="Arial" w:eastAsia="Arial" w:hAnsi="Arial"/>
          <w:b/>
          <w:bCs/>
          <w:color w:val="1A1A1A"/>
          <w:sz w:val="22"/>
          <w:szCs w:val="22"/>
        </w:rPr>
        <w:t xml:space="preserve">AI Model: </w:t>
      </w:r>
      <w:r>
        <w:rPr>
          <w:rFonts w:ascii="Arial" w:cs="Arial" w:eastAsia="Arial" w:hAnsi="Arial"/>
          <w:color w:val="1A1A1A"/>
          <w:sz w:val="22"/>
          <w:szCs w:val="22"/>
        </w:rPr>
        <w:t xml:space="preserve">Time-series anomaly detection + computer vision for surface defect classification, deployed on Azure Stack HCI at the manufacturing facility</w:t>
      </w:r>
    </w:p>
    <w:p>
      <w:pPr>
        <w:spacing w:after="100"/>
      </w:pPr>
      <w:r>
        <w:rPr>
          <w:rFonts w:ascii="Arial" w:cs="Arial" w:eastAsia="Arial" w:hAnsi="Arial"/>
          <w:b/>
          <w:bCs/>
          <w:color w:val="1A1A1A"/>
          <w:sz w:val="22"/>
          <w:szCs w:val="22"/>
        </w:rPr>
        <w:t xml:space="preserve">Business Outcome: </w:t>
      </w:r>
      <w:r>
        <w:rPr>
          <w:rFonts w:ascii="Arial" w:cs="Arial" w:eastAsia="Arial" w:hAnsi="Arial"/>
          <w:color w:val="1A1A1A"/>
          <w:sz w:val="22"/>
          <w:szCs w:val="22"/>
        </w:rPr>
        <w:t xml:space="preserve">30% reduction in blade scrap rate = $18M annual savings. Predictive alerts enable proactive tool replacement, reducing unplanned downtime by 35%.</w:t>
      </w:r>
    </w:p>
    <w:p>
      <w:pPr>
        <w:spacing w:after="100"/>
      </w:pPr>
      <w:r>
        <w:rPr>
          <w:rFonts w:ascii="Arial" w:cs="Arial" w:eastAsia="Arial" w:hAnsi="Arial"/>
          <w:b/>
          <w:bCs/>
          <w:color w:val="1A1A1A"/>
          <w:sz w:val="22"/>
          <w:szCs w:val="22"/>
        </w:rPr>
        <w:t xml:space="preserve">Governance: </w:t>
      </w:r>
      <w:r>
        <w:rPr>
          <w:rFonts w:ascii="Arial" w:cs="Arial" w:eastAsia="Arial" w:hAnsi="Arial"/>
          <w:color w:val="1A1A1A"/>
          <w:sz w:val="22"/>
          <w:szCs w:val="22"/>
        </w:rPr>
        <w:t xml:space="preserve">Tier 1 safety-critical classification. Human approval required before any production adjustment. Full audit trail for AS9100 compliance.</w:t>
      </w:r>
    </w:p>
    <w:p>
      <w:pPr>
        <w:spacing w:after="140"/>
      </w:pPr>
      <w:r>
        <w:rPr>
          <w:rFonts w:ascii="Arial" w:cs="Arial" w:eastAsia="Arial" w:hAnsi="Arial"/>
          <w:color w:val="1A1A1A"/>
          <w:sz w:val="22"/>
          <w:szCs w:val="22"/>
        </w:rPr>
        <w:t xml:space="preserve">This quick win is deliberately chosen because it crosses the OT/IT boundary, involves safety-critical governance, and produces measurable financial impact within the evaluation period. It is the proof point that AION works at RTX scale.</w:t>
      </w:r>
    </w:p>
    <w:p>
      <w:pPr>
        <w:pStyle w:val="Heading2"/>
      </w:pPr>
      <w:r>
        <w:t xml:space="preserve">4.3 Risk Register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1000"/>
        <w:gridCol w:w="4360"/>
      </w:tblGrid>
      <w:tr>
        <w:tc>
          <w:tcPr>
            <w:tcW w:type="dxa" w:w="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ITAR data boundary breach during AI training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ITAR data processed in Azure Government IL5; automated data classification; US-person-only AI team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Cross-segment adoption resistance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Segment-specific change champions; co-design with operators; reverse mentoring program; quarterly adoption heatmap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S/4HANA migration timeline conflicts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AION architecture is ERP-agnostic; integration layer supports both ECC and S/4HANA simultaneously during migration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model drift in safety-critical applications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Automated drift detection; 90-day revalidation cycle; human override on all Tier 1 systems; model rollback within 15 minutes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Classified network AI deployment constraints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Air-gapped deployment architecture for SIPR/JWICS; pre-trained models transferred via approved cross-domain solutions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OT system integration disrupts production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Read-only OT integration initially; shadow mode for 30 days before any production control; plant-by-plant rollout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quality insufficient for AI models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Wave 0 data quality assessment; automated data cleansing pipeline; data steward network across segments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Key personnel attrition during engagement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Named backup for every critical role; knowledge transfer from Day 1; CoE absorbs institutional knowledge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Scope creep from 100+ use case backlog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Strict wave gate reviews; Steering Committee approval for scope changes &gt;5% budget impact; use case prioritization matrix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Regulatory change (new AI regulations)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Responsible AI framework designed for adaptability; quarterly regulatory scanning; EU AI Act monitoring for European operations</w:t>
            </w:r>
          </w:p>
        </w:tc>
      </w:tr>
    </w:tbl>
    <w:p>
      <w:r>
        <w:br w:type="page"/>
      </w:r>
    </w:p>
    <w:p>
      <w:pPr>
        <w:pStyle w:val="Heading1"/>
      </w:pPr>
      <w:r>
        <w:t xml:space="preserve">Section 5: Team &amp; Credentials</w:t>
      </w:r>
    </w:p>
    <w:p>
      <w:pPr>
        <w:pStyle w:val="Heading2"/>
      </w:pPr>
      <w:r>
        <w:t xml:space="preserve">5.1 Engagement Team Structure</w:t>
      </w:r>
    </w:p>
    <w:p>
      <w:pPr>
        <w:spacing w:after="140"/>
      </w:pPr>
      <w:r>
        <w:rPr>
          <w:rFonts w:ascii="Arial" w:cs="Arial" w:eastAsia="Arial" w:hAnsi="Arial"/>
          <w:color w:val="1A1A1A"/>
          <w:sz w:val="22"/>
          <w:szCs w:val="22"/>
        </w:rPr>
        <w:t xml:space="preserve">HCLTech deploys a 20-person core pursuit and delivery team, structured across four tracks to mirror the complexity of RTX’s enterprise environment. All team members are positioned as HCLTech professionals with aerospace and defense domain credentials.</w:t>
      </w:r>
    </w:p>
    <w:p>
      <w:pPr>
        <w:pStyle w:val="Heading3"/>
      </w:pPr>
      <w:r>
        <w:t xml:space="preserve">Sales &amp; Commercial Track (6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Name (HCLTech)</w:t>
            </w:r>
          </w:p>
        </w:tc>
        <w:tc>
          <w:tcPr>
            <w:tcW w:type="dxa" w:w="37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Credentials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Managing Director, A&amp;D Practice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Alexandra Ascroft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 years enterprise A&amp;D sales; led $200M+ defense transformation programs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Industry Partner Lead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Lenin M.P. Chandra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VP-level A&amp;D industry expertise; SAP Defense &amp; Security module specialist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Commercial Lead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Mark Makepeace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Enterprise deal architect; outcome-based pricing specialist; $500M+ deal portfolio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Solution Architect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Selvakumar R 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Enterprise AI architecture; Azure Government certified; TOGAF 9.2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Program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Manoj D 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PMP, SAFe 5.0; defense program management; EVMS expertise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Bid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Mohammed Zaid 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Enterprise bid management; RFP response specialist; A&amp;D procurement process expert</w:t>
            </w:r>
          </w:p>
        </w:tc>
      </w:tr>
    </w:tbl>
    <w:p>
      <w:pPr>
        <w:pStyle w:val="Heading3"/>
      </w:pPr>
      <w:r>
        <w:t xml:space="preserve">Solution Track (5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Name (HCLTech)</w:t>
            </w:r>
          </w:p>
        </w:tc>
        <w:tc>
          <w:tcPr>
            <w:tcW w:type="dxa" w:w="37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Credentials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Product Expert (AI Force)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Siddharth 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Force platform lead; 50+ enterprise AI deployments; agentic AI specialist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Industry Expert, A&amp;D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Devendra K. Bhatia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 years aerospace operations; MRO optimization; defense supply chain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Technical Lead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Arpith D Bhat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Full-stack AI/ML; Azure Government; computer vision for manufacturing QA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Change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Malika Sanoune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Prosci certified; 185,000+ employee transformation experience; multi-cultural change programs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Delivery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Anish Kumar Singh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Agile/SAFe delivery; defense contract compliance; CMMC-aware delivery processes</w:t>
            </w:r>
          </w:p>
        </w:tc>
      </w:tr>
    </w:tbl>
    <w:p>
      <w:pPr>
        <w:pStyle w:val="Heading3"/>
      </w:pPr>
      <w:r>
        <w:t xml:space="preserve">Storytelling Track (5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Name (HCLTech)</w:t>
            </w:r>
          </w:p>
        </w:tc>
        <w:tc>
          <w:tcPr>
            <w:tcW w:type="dxa" w:w="37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Credentials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Creative Lead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Karthik 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Global marketing &amp; branding; enterprise pitch design; A&amp;D sector communications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RFP Writer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Thasleema 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Enterprise proposal specialist; technical writing; compliance documentation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Artifacts Lead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Eyad Rahman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Architecture diagrams; case study development; visual storytelling for enterprise bids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Demo Lead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Vignesh Barani 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Live demo specialist; full-stack development; real-time data visualization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Crowd Energizer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Kamalesh Pasupathy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Customer success storytelling; audience engagement; enterprise event presentation</w:t>
            </w:r>
          </w:p>
        </w:tc>
      </w:tr>
    </w:tbl>
    <w:p>
      <w:pPr>
        <w:pStyle w:val="Heading3"/>
      </w:pPr>
      <w:r>
        <w:t xml:space="preserve">Build Track (up to 8 members: developers and interns)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AI/ML Engineer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Model training, fine-tuning, inference optimization for manufacturing quality and supply chain 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Data Engineer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pipeline construction, OT data ingestion, real-time streaming from simulated plant sensors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Backend Developer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FastAPI backend, API orchestration, AI Force integration layer, demo mode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Frontend Developer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React dashboard: Executive Command Center, Plant Operations View, real-time visualization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Cloud/DevOps Engineer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Government deployment, CI/CD pipeline, edge compute simulation, infrastructure-as-code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QA Engineer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Demo regression testing, data validation, backup video recording, presentation hardware testing</w:t>
            </w:r>
          </w:p>
        </w:tc>
      </w:tr>
    </w:tbl>
    <w:p>
      <w:pPr>
        <w:pStyle w:val="Heading2"/>
      </w:pPr>
      <w:r>
        <w:t xml:space="preserve">5.2 Remaining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HCLTech Role</w:t>
            </w:r>
          </w:p>
        </w:tc>
        <w:tc>
          <w:tcPr>
            <w:tcW w:type="dxa" w:w="37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Saravanan 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Senior Consultant, Data Engineering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OT data integration specialist; historian systems; plant-floor data architecture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Vignesh K 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Senior Consultant, AI Engineering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Computer vision model development; edge deployment; manufacturing QA automation</w:t>
            </w:r>
          </w:p>
        </w:tc>
      </w:tr>
    </w:tbl>
    <w:p>
      <w:r>
        <w:br w:type="page"/>
      </w:r>
    </w:p>
    <w:p>
      <w:pPr>
        <w:pStyle w:val="Heading1"/>
      </w:pPr>
      <w:r>
        <w:t xml:space="preserve">Section 6: Commercial Proposal</w:t>
      </w:r>
    </w:p>
    <w:p>
      <w:pPr>
        <w:pStyle w:val="Heading2"/>
      </w:pPr>
      <w:r>
        <w:t xml:space="preserve">6.1 Investment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Total Contract Value (TCV)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3366"/>
                <w:sz w:val="20"/>
                <w:szCs w:val="20"/>
              </w:rPr>
              <w:t xml:space="preserve">$142,000,000 over 60 months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Annual Contract Value (ACV) - Year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$40,500,000 (Discovery + Foundation build)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Annual Contract Value (ACV) - Years 2-3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$33,000,000 average (Scale + Optimize)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Annual Contract Value (ACV) - Years 4-5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$17,750,000 average (Evolve + Managed Services)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Engagement Duration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 months with optional 24-month renewal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Pricing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Hybrid: Fixed-price milestones (60%) + outcome-based fees (25%) + T&amp;M innovation (15%)</w:t>
            </w:r>
          </w:p>
        </w:tc>
      </w:tr>
    </w:tbl>
    <w:p>
      <w:pPr>
        <w:pStyle w:val="Heading2"/>
      </w:pPr>
      <w:r>
        <w:t xml:space="preserve">6.2 Pricing Breakdown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Investment</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of TCV</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Wave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Discovery &amp; Assessment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$8.5M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Fixed Price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Wave 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Platform &amp; Infrastructure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$28.4M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Fixed Price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Waves 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Implementation Services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$46.9M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Milestone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Waves 1-3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Change Mgmt &amp; Training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$15.6M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Milestone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Waves 1-3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Managed Services (3 years)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$28.4M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Outcome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Waves 3-4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Innovation Fund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$14.2M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T&amp;M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Waves</w:t>
            </w:r>
          </w:p>
        </w:tc>
      </w:tr>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$142.0M</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color w:val="FFFFFF"/>
                <w:sz w:val="20"/>
                <w:szCs w:val="20"/>
              </w:rPr>
              <w:t xml:space="preserve">100%</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color w:val="FFFFFF"/>
                <w:sz w:val="20"/>
                <w:szCs w:val="20"/>
              </w:rPr>
              <w:t xml:space="preserve">Hybrid</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color w:val="FFFFFF"/>
                <w:sz w:val="20"/>
                <w:szCs w:val="20"/>
              </w:rPr>
              <w:t xml:space="preserve">60 months</w:t>
            </w:r>
          </w:p>
        </w:tc>
      </w:tr>
    </w:tbl>
    <w:p>
      <w:pPr>
        <w:pStyle w:val="Heading2"/>
      </w:pPr>
      <w:r>
        <w:t xml:space="preserve">6.3 ROI Model: 5-Year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87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87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Year 3</w:t>
            </w:r>
          </w:p>
        </w:tc>
        <w:tc>
          <w:tcPr>
            <w:tcW w:type="dxa" w:w="187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Year 4</w:t>
            </w:r>
          </w:p>
        </w:tc>
        <w:tc>
          <w:tcPr>
            <w:tcW w:type="dxa" w:w="187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Year 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Investment: $40.5M</w:t>
            </w:r>
          </w:p>
          <w:p>
            <w:pPr>
              <w:spacing w:after="40"/>
            </w:pPr>
            <w:r>
              <w:rPr>
                <w:rFonts w:ascii="Arial" w:cs="Arial" w:eastAsia="Arial" w:hAnsi="Arial"/>
                <w:color w:val="1A1A1A"/>
                <w:sz w:val="19"/>
                <w:szCs w:val="19"/>
              </w:rPr>
              <w:t xml:space="preserve">Returns: $45M</w:t>
            </w:r>
          </w:p>
          <w:p>
            <w:pPr>
              <w:spacing w:after="40"/>
            </w:pPr>
            <w:r>
              <w:rPr>
                <w:rFonts w:ascii="Arial" w:cs="Arial" w:eastAsia="Arial" w:hAnsi="Arial"/>
                <w:color w:val="1A1A1A"/>
                <w:sz w:val="19"/>
                <w:szCs w:val="19"/>
              </w:rPr>
              <w:t xml:space="preserve">Net: $4.5M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Investment: $38M</w:t>
            </w:r>
          </w:p>
          <w:p>
            <w:pPr>
              <w:spacing w:after="40"/>
            </w:pPr>
            <w:r>
              <w:rPr>
                <w:rFonts w:ascii="Arial" w:cs="Arial" w:eastAsia="Arial" w:hAnsi="Arial"/>
                <w:color w:val="1A1A1A"/>
                <w:sz w:val="19"/>
                <w:szCs w:val="19"/>
              </w:rPr>
              <w:t xml:space="preserve">Returns: $75M</w:t>
            </w:r>
          </w:p>
          <w:p>
            <w:pPr>
              <w:spacing w:after="40"/>
            </w:pPr>
            <w:r>
              <w:rPr>
                <w:rFonts w:ascii="Arial" w:cs="Arial" w:eastAsia="Arial" w:hAnsi="Arial"/>
                <w:color w:val="1A1A1A"/>
                <w:sz w:val="19"/>
                <w:szCs w:val="19"/>
              </w:rPr>
              <w:t xml:space="preserve">Net: $37M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Investment: $28M</w:t>
            </w:r>
          </w:p>
          <w:p>
            <w:pPr>
              <w:spacing w:after="40"/>
            </w:pPr>
            <w:r>
              <w:rPr>
                <w:rFonts w:ascii="Arial" w:cs="Arial" w:eastAsia="Arial" w:hAnsi="Arial"/>
                <w:color w:val="1A1A1A"/>
                <w:sz w:val="19"/>
                <w:szCs w:val="19"/>
              </w:rPr>
              <w:t xml:space="preserve">Returns: $130M</w:t>
            </w:r>
          </w:p>
          <w:p>
            <w:pPr>
              <w:spacing w:after="40"/>
            </w:pPr>
            <w:r>
              <w:rPr>
                <w:rFonts w:ascii="Arial" w:cs="Arial" w:eastAsia="Arial" w:hAnsi="Arial"/>
                <w:color w:val="1A1A1A"/>
                <w:sz w:val="19"/>
                <w:szCs w:val="19"/>
              </w:rPr>
              <w:t xml:space="preserve">Net: $102M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Investment: $18M</w:t>
            </w:r>
          </w:p>
          <w:p>
            <w:pPr>
              <w:spacing w:after="40"/>
            </w:pPr>
            <w:r>
              <w:rPr>
                <w:rFonts w:ascii="Arial" w:cs="Arial" w:eastAsia="Arial" w:hAnsi="Arial"/>
                <w:color w:val="1A1A1A"/>
                <w:sz w:val="19"/>
                <w:szCs w:val="19"/>
              </w:rPr>
              <w:t xml:space="preserve">Returns: $118M</w:t>
            </w:r>
          </w:p>
          <w:p>
            <w:pPr>
              <w:spacing w:after="40"/>
            </w:pPr>
            <w:r>
              <w:rPr>
                <w:rFonts w:ascii="Arial" w:cs="Arial" w:eastAsia="Arial" w:hAnsi="Arial"/>
                <w:color w:val="1A1A1A"/>
                <w:sz w:val="19"/>
                <w:szCs w:val="19"/>
              </w:rPr>
              <w:t xml:space="preserve">Net: $100M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19"/>
                <w:szCs w:val="19"/>
              </w:rPr>
              <w:t xml:space="preserve">Investment: $17.5M</w:t>
            </w:r>
          </w:p>
          <w:p>
            <w:pPr>
              <w:spacing w:after="40"/>
            </w:pPr>
            <w:r>
              <w:rPr>
                <w:rFonts w:ascii="Arial" w:cs="Arial" w:eastAsia="Arial" w:hAnsi="Arial"/>
                <w:color w:val="1A1A1A"/>
                <w:sz w:val="19"/>
                <w:szCs w:val="19"/>
              </w:rPr>
              <w:t xml:space="preserve">Returns: $119M</w:t>
            </w:r>
          </w:p>
          <w:p>
            <w:pPr>
              <w:spacing w:after="40"/>
            </w:pPr>
            <w:r>
              <w:rPr>
                <w:rFonts w:ascii="Arial" w:cs="Arial" w:eastAsia="Arial" w:hAnsi="Arial"/>
                <w:color w:val="1A1A1A"/>
                <w:sz w:val="19"/>
                <w:szCs w:val="19"/>
              </w:rPr>
              <w:t xml:space="preserve">Net: $101.5M</w:t>
            </w:r>
          </w:p>
        </w:tc>
      </w:tr>
    </w:tbl>
    <w:p>
      <w:pPr>
        <w:spacing w:before="100"/>
      </w:pPr>
    </w:p>
    <w:p>
      <w:pPr>
        <w:spacing w:after="100"/>
      </w:pPr>
      <w:r>
        <w:rPr>
          <w:rFonts w:ascii="Arial" w:cs="Arial" w:eastAsia="Arial" w:hAnsi="Arial"/>
          <w:b/>
          <w:bCs/>
          <w:color w:val="1A1A1A"/>
          <w:sz w:val="22"/>
          <w:szCs w:val="22"/>
        </w:rPr>
        <w:t xml:space="preserve">Cumulative 5-Year Investment: </w:t>
      </w:r>
      <w:r>
        <w:rPr>
          <w:rFonts w:ascii="Arial" w:cs="Arial" w:eastAsia="Arial" w:hAnsi="Arial"/>
          <w:color w:val="1A1A1A"/>
          <w:sz w:val="22"/>
          <w:szCs w:val="22"/>
        </w:rPr>
        <w:t xml:space="preserve">$142M</w:t>
      </w:r>
    </w:p>
    <w:p>
      <w:pPr>
        <w:spacing w:after="100"/>
      </w:pPr>
      <w:r>
        <w:rPr>
          <w:rFonts w:ascii="Arial" w:cs="Arial" w:eastAsia="Arial" w:hAnsi="Arial"/>
          <w:b/>
          <w:bCs/>
          <w:color w:val="1A1A1A"/>
          <w:sz w:val="22"/>
          <w:szCs w:val="22"/>
        </w:rPr>
        <w:t xml:space="preserve">Cumulative 5-Year Returns: </w:t>
      </w:r>
      <w:r>
        <w:rPr>
          <w:rFonts w:ascii="Arial" w:cs="Arial" w:eastAsia="Arial" w:hAnsi="Arial"/>
          <w:color w:val="1A1A1A"/>
          <w:sz w:val="22"/>
          <w:szCs w:val="22"/>
        </w:rPr>
        <w:t xml:space="preserve">$487M</w:t>
      </w:r>
    </w:p>
    <w:p>
      <w:pPr>
        <w:spacing w:after="100"/>
      </w:pPr>
      <w:r>
        <w:rPr>
          <w:rFonts w:ascii="Arial" w:cs="Arial" w:eastAsia="Arial" w:hAnsi="Arial"/>
          <w:b/>
          <w:bCs/>
          <w:color w:val="1A1A1A"/>
          <w:sz w:val="22"/>
          <w:szCs w:val="22"/>
        </w:rPr>
        <w:t xml:space="preserve">Cumulative Net Value: </w:t>
      </w:r>
      <w:r>
        <w:rPr>
          <w:rFonts w:ascii="Arial" w:cs="Arial" w:eastAsia="Arial" w:hAnsi="Arial"/>
          <w:color w:val="1A1A1A"/>
          <w:sz w:val="22"/>
          <w:szCs w:val="22"/>
        </w:rPr>
        <w:t xml:space="preserve">$345M</w:t>
      </w:r>
    </w:p>
    <w:p>
      <w:pPr>
        <w:spacing w:after="100"/>
      </w:pPr>
      <w:r>
        <w:rPr>
          <w:rFonts w:ascii="Arial" w:cs="Arial" w:eastAsia="Arial" w:hAnsi="Arial"/>
          <w:b/>
          <w:bCs/>
          <w:color w:val="1A1A1A"/>
          <w:sz w:val="22"/>
          <w:szCs w:val="22"/>
        </w:rPr>
        <w:t xml:space="preserve">ROI: </w:t>
      </w:r>
      <w:r>
        <w:rPr>
          <w:rFonts w:ascii="Arial" w:cs="Arial" w:eastAsia="Arial" w:hAnsi="Arial"/>
          <w:color w:val="1A1A1A"/>
          <w:sz w:val="22"/>
          <w:szCs w:val="22"/>
        </w:rPr>
        <w:t xml:space="preserve">3.4x return on investment</w:t>
      </w:r>
    </w:p>
    <w:p>
      <w:pPr>
        <w:spacing w:after="100"/>
      </w:pPr>
      <w:r>
        <w:rPr>
          <w:rFonts w:ascii="Arial" w:cs="Arial" w:eastAsia="Arial" w:hAnsi="Arial"/>
          <w:b/>
          <w:bCs/>
          <w:color w:val="1A1A1A"/>
          <w:sz w:val="22"/>
          <w:szCs w:val="22"/>
        </w:rPr>
        <w:t xml:space="preserve">Payback Period: </w:t>
      </w:r>
      <w:r>
        <w:rPr>
          <w:rFonts w:ascii="Arial" w:cs="Arial" w:eastAsia="Arial" w:hAnsi="Arial"/>
          <w:color w:val="1A1A1A"/>
          <w:sz w:val="22"/>
          <w:szCs w:val="22"/>
        </w:rPr>
        <w:t xml:space="preserve">14 months</w:t>
      </w:r>
    </w:p>
    <w:p>
      <w:pPr>
        <w:spacing w:after="100"/>
      </w:pPr>
      <w:r>
        <w:rPr>
          <w:rFonts w:ascii="Arial" w:cs="Arial" w:eastAsia="Arial" w:hAnsi="Arial"/>
          <w:b/>
          <w:bCs/>
          <w:color w:val="1A1A1A"/>
          <w:sz w:val="22"/>
          <w:szCs w:val="22"/>
        </w:rPr>
        <w:t xml:space="preserve">NPV (at 10% discount rate): </w:t>
      </w:r>
      <w:r>
        <w:rPr>
          <w:rFonts w:ascii="Arial" w:cs="Arial" w:eastAsia="Arial" w:hAnsi="Arial"/>
          <w:color w:val="1A1A1A"/>
          <w:sz w:val="22"/>
          <w:szCs w:val="22"/>
        </w:rPr>
        <w:t xml:space="preserve">$278M</w:t>
      </w:r>
    </w:p>
    <w:p>
      <w:pPr>
        <w:spacing w:after="100"/>
      </w:pPr>
      <w:r>
        <w:rPr>
          <w:rFonts w:ascii="Arial" w:cs="Arial" w:eastAsia="Arial" w:hAnsi="Arial"/>
          <w:b/>
          <w:bCs/>
          <w:color w:val="1A1A1A"/>
          <w:sz w:val="22"/>
          <w:szCs w:val="22"/>
        </w:rPr>
        <w:t xml:space="preserve">IRR: </w:t>
      </w:r>
      <w:r>
        <w:rPr>
          <w:rFonts w:ascii="Arial" w:cs="Arial" w:eastAsia="Arial" w:hAnsi="Arial"/>
          <w:color w:val="1A1A1A"/>
          <w:sz w:val="22"/>
          <w:szCs w:val="22"/>
        </w:rPr>
        <w:t xml:space="preserve">68%</w:t>
      </w:r>
    </w:p>
    <w:p>
      <w:pPr>
        <w:pStyle w:val="Heading2"/>
      </w:pPr>
      <w:r>
        <w:t xml:space="preserve">6.4 Value Breakdown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 Category</w:t>
            </w:r>
          </w:p>
        </w:tc>
        <w:tc>
          <w:tcPr>
            <w:tcW w:type="dxa" w:w="2808"/>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5-Year Value</w:t>
            </w:r>
          </w:p>
        </w:tc>
        <w:tc>
          <w:tcPr>
            <w:tcW w:type="dxa" w:w="2808"/>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Primary Source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Operational Efficiency</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$185M</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Manufacturing quality, downtime reduction, production optimization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IT Cost Optimization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$125M</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Tech debt reduction (62% to 38% maintenance), app rationalization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Revenue Acceleration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$92M</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Aftermarket MRO pricing optimization, cross-segment commercial AI</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Risk Mitigation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$55M</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Compliance automation, cyber threat detection, supply chain resilience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Workforce Productivity</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$30M</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AI-augmented decision-making, automated reporting, L1 ticket deflection</w:t>
            </w:r>
          </w:p>
        </w:tc>
      </w:tr>
    </w:tbl>
    <w:p>
      <w:pPr>
        <w:pStyle w:val="Heading2"/>
      </w:pPr>
      <w:r>
        <w:t xml:space="preserve">6.5 Deal Structure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Option A: Foundation</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Option B: Transformation</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Option C: Full Enterprise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Scope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segments, 20 use cases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3 segments, 50+ use cases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Enterprise-wide + innovation lab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Duration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36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 months + 24-month renewal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TCV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$78M</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$142M (Recommended)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$195M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5-Year ROI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2.1x</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3.4x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4.2x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Payback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 months</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1A"/>
                <w:sz w:val="20"/>
                <w:szCs w:val="20"/>
              </w:rPr>
              <w:t xml:space="preserve">14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 months</w:t>
            </w:r>
          </w:p>
        </w:tc>
      </w:tr>
    </w:tbl>
    <w:p>
      <w:pPr>
        <w:spacing w:before="200"/>
      </w:pPr>
    </w:p>
    <w:p>
      <w:pPr>
        <w:spacing w:after="140"/>
      </w:pPr>
      <w:r>
        <w:rPr>
          <w:rFonts w:ascii="Arial" w:cs="Arial" w:eastAsia="Arial" w:hAnsi="Arial"/>
          <w:color w:val="1A1A1A"/>
          <w:sz w:val="22"/>
          <w:szCs w:val="22"/>
        </w:rPr>
        <w:t xml:space="preserve">HCLTech recommends Option B: Transformation. It delivers the optimal balance of scope, investment, and return, covering all three RTX segments and achieving full enterprise AI operations within 60 months.</w:t>
      </w:r>
    </w:p>
    <w:p>
      <w:pPr>
        <w:pStyle w:val="Heading2"/>
      </w:pPr>
      <w:r>
        <w:t xml:space="preserve">6.6 Cost of Inaction</w:t>
      </w:r>
    </w:p>
    <w:p>
      <w:pPr>
        <w:spacing w:after="140"/>
      </w:pPr>
      <w:r>
        <w:rPr>
          <w:rFonts w:ascii="Arial" w:cs="Arial" w:eastAsia="Arial" w:hAnsi="Arial"/>
          <w:color w:val="1A1A1A"/>
          <w:sz w:val="22"/>
          <w:szCs w:val="22"/>
        </w:rPr>
        <w:t xml:space="preserve">Every quarter RTX delays AI transformation, the following value is lost:</w:t>
      </w:r>
    </w:p>
    <w:p>
      <w:pPr>
        <w:spacing w:after="100"/>
      </w:pPr>
      <w:r>
        <w:rPr>
          <w:rFonts w:ascii="Arial" w:cs="Arial" w:eastAsia="Arial" w:hAnsi="Arial"/>
          <w:b/>
          <w:bCs/>
          <w:color w:val="1A1A1A"/>
          <w:sz w:val="22"/>
          <w:szCs w:val="22"/>
        </w:rPr>
        <w:t xml:space="preserve">Operational inefficiency: </w:t>
      </w:r>
      <w:r>
        <w:rPr>
          <w:rFonts w:ascii="Arial" w:cs="Arial" w:eastAsia="Arial" w:hAnsi="Arial"/>
          <w:color w:val="1A1A1A"/>
          <w:sz w:val="22"/>
          <w:szCs w:val="22"/>
        </w:rPr>
        <w:t xml:space="preserve">$15.6M/quarter in preventable downtime, scrap, and manual processing</w:t>
      </w:r>
    </w:p>
    <w:p>
      <w:pPr>
        <w:spacing w:after="100"/>
      </w:pPr>
      <w:r>
        <w:rPr>
          <w:rFonts w:ascii="Arial" w:cs="Arial" w:eastAsia="Arial" w:hAnsi="Arial"/>
          <w:b/>
          <w:bCs/>
          <w:color w:val="1A1A1A"/>
          <w:sz w:val="22"/>
          <w:szCs w:val="22"/>
        </w:rPr>
        <w:t xml:space="preserve">IT debt compounding: </w:t>
      </w:r>
      <w:r>
        <w:rPr>
          <w:rFonts w:ascii="Arial" w:cs="Arial" w:eastAsia="Arial" w:hAnsi="Arial"/>
          <w:color w:val="1A1A1A"/>
          <w:sz w:val="22"/>
          <w:szCs w:val="22"/>
        </w:rPr>
        <w:t xml:space="preserve">$12.5M/quarter in rising maintenance costs as legacy systems age</w:t>
      </w:r>
    </w:p>
    <w:p>
      <w:pPr>
        <w:spacing w:after="100"/>
      </w:pPr>
      <w:r>
        <w:rPr>
          <w:rFonts w:ascii="Arial" w:cs="Arial" w:eastAsia="Arial" w:hAnsi="Arial"/>
          <w:b/>
          <w:bCs/>
          <w:color w:val="1A1A1A"/>
          <w:sz w:val="22"/>
          <w:szCs w:val="22"/>
        </w:rPr>
        <w:t xml:space="preserve">Competitive gap: </w:t>
      </w:r>
      <w:r>
        <w:rPr>
          <w:rFonts w:ascii="Arial" w:cs="Arial" w:eastAsia="Arial" w:hAnsi="Arial"/>
          <w:color w:val="1A1A1A"/>
          <w:sz w:val="22"/>
          <w:szCs w:val="22"/>
        </w:rPr>
        <w:t xml:space="preserve">Lockheed Martin, Northrop Grumman, and Boeing are investing $500M+ in AI. Each quarter of delay widens RTX’s disadvantage.</w:t>
      </w:r>
    </w:p>
    <w:p>
      <w:pPr>
        <w:spacing w:after="100"/>
      </w:pPr>
      <w:r>
        <w:rPr>
          <w:rFonts w:ascii="Arial" w:cs="Arial" w:eastAsia="Arial" w:hAnsi="Arial"/>
          <w:b/>
          <w:bCs/>
          <w:color w:val="1A1A1A"/>
          <w:sz w:val="22"/>
          <w:szCs w:val="22"/>
        </w:rPr>
        <w:t xml:space="preserve">Regulatory exposure: </w:t>
      </w:r>
      <w:r>
        <w:rPr>
          <w:rFonts w:ascii="Arial" w:cs="Arial" w:eastAsia="Arial" w:hAnsi="Arial"/>
          <w:color w:val="1A1A1A"/>
          <w:sz w:val="22"/>
          <w:szCs w:val="22"/>
        </w:rPr>
        <w:t xml:space="preserve">Without structured AI governance, every AI pilot deployed increases compliance risk under ITAR, CMMC, and emerging AI regulations</w:t>
      </w:r>
    </w:p>
    <w:p>
      <w:pPr>
        <w:spacing w:after="140"/>
      </w:pPr>
      <w:r>
        <w:rPr>
          <w:rFonts w:ascii="Arial" w:cs="Arial" w:eastAsia="Arial" w:hAnsi="Arial"/>
          <w:b/>
          <w:bCs/>
          <w:color w:val="1A1A1A"/>
          <w:sz w:val="22"/>
          <w:szCs w:val="22"/>
        </w:rPr>
        <w:t xml:space="preserve">Cumulative cost of 12 months of inaction: $112M+ in lost value. The $142M AION investment pays for itself from avoided losses alone within 16 months.</w:t>
      </w:r>
    </w:p>
    <w:p>
      <w:r>
        <w:br w:type="page"/>
      </w:r>
    </w:p>
    <w:p>
      <w:pPr>
        <w:pStyle w:val="Heading1"/>
      </w:pPr>
      <w:r>
        <w:t xml:space="preserve">Section 7: Risk Management &amp; Governance</w:t>
      </w:r>
    </w:p>
    <w:p>
      <w:pPr>
        <w:pStyle w:val="Heading2"/>
      </w:pPr>
      <w:r>
        <w:t xml:space="preserve">7.1 AI Governance Framework</w:t>
      </w:r>
    </w:p>
    <w:p>
      <w:pPr>
        <w:spacing w:after="140"/>
      </w:pPr>
      <w:r>
        <w:rPr>
          <w:rFonts w:ascii="Arial" w:cs="Arial" w:eastAsia="Arial" w:hAnsi="Arial"/>
          <w:color w:val="1A1A1A"/>
          <w:sz w:val="22"/>
          <w:szCs w:val="22"/>
        </w:rPr>
        <w:t xml:space="preserve">AION implements a three-tier AI governance model aligned to RTX’s operational risk profile. Every AI system deployed is classified into one of three tiers, each with escalating governance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Governance</w:t>
            </w:r>
          </w:p>
        </w:tc>
        <w:tc>
          <w:tcPr>
            <w:tcW w:type="dxa" w:w="2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Override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Tier 1: Safety-Critical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Process control, maintenance decisions, flight-safety systems, missile QA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explainability, human approval for every decision, kill-switch, real-time monitoring, 90-day revalidation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Frictionless 1-click override. Override logged for model improvement. Rollback in &lt;15 minutes.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Tier 2: Financial/Regulatory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EVMS reporting, contract pricing, CAS compliance, financial close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Regulatory-grade audit trail, SOX-compatible logging, quarterly fairness audits, bias monitoring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Override with reason code. Audit trail preserved. Monthly override pattern review.</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9966"/>
                <w:sz w:val="20"/>
                <w:szCs w:val="20"/>
              </w:rPr>
              <w:t xml:space="preserve">Tier 3: Productivity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 ticket routing, knowledge search, scheduling recommendations, report generation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Basic logging, user feedback collection, periodic accuracy reviews, NPS tracking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can dismiss any recommendation. Feedback loop for continuous improvement.</w:t>
            </w:r>
          </w:p>
        </w:tc>
      </w:tr>
    </w:tbl>
    <w:p>
      <w:pPr>
        <w:pStyle w:val="Heading2"/>
      </w:pPr>
      <w:r>
        <w:t xml:space="preserve">7.2 Responsible AI Policy</w:t>
      </w:r>
    </w:p>
    <w:p>
      <w:pPr>
        <w:spacing w:after="140"/>
      </w:pPr>
      <w:r>
        <w:rPr>
          <w:rFonts w:ascii="Arial" w:cs="Arial" w:eastAsia="Arial" w:hAnsi="Arial"/>
          <w:color w:val="1A1A1A"/>
          <w:sz w:val="22"/>
          <w:szCs w:val="22"/>
        </w:rPr>
        <w:t xml:space="preserve">Within the first 90 days, HCLTech co-designs with RTX legal, compliance, HSE, and operations a comprehensive Responsible AI Policy covering:</w:t>
      </w:r>
    </w:p>
    <w:p>
      <w:pPr>
        <w:spacing w:after="100"/>
      </w:pPr>
      <w:r>
        <w:rPr>
          <w:rFonts w:ascii="Arial" w:cs="Arial" w:eastAsia="Arial" w:hAnsi="Arial"/>
          <w:b/>
          <w:bCs/>
          <w:color w:val="1A1A1A"/>
          <w:sz w:val="22"/>
          <w:szCs w:val="22"/>
        </w:rPr>
        <w:t xml:space="preserve">Fairness: </w:t>
      </w:r>
      <w:r>
        <w:rPr>
          <w:rFonts w:ascii="Arial" w:cs="Arial" w:eastAsia="Arial" w:hAnsi="Arial"/>
          <w:color w:val="1A1A1A"/>
          <w:sz w:val="22"/>
          <w:szCs w:val="22"/>
        </w:rPr>
        <w:t xml:space="preserve">Bias testing on all HR, procurement, and commercial AI models before deployment. Quarterly fairness audits with documented results.</w:t>
      </w:r>
    </w:p>
    <w:p>
      <w:pPr>
        <w:spacing w:after="100"/>
      </w:pPr>
      <w:r>
        <w:rPr>
          <w:rFonts w:ascii="Arial" w:cs="Arial" w:eastAsia="Arial" w:hAnsi="Arial"/>
          <w:b/>
          <w:bCs/>
          <w:color w:val="1A1A1A"/>
          <w:sz w:val="22"/>
          <w:szCs w:val="22"/>
        </w:rPr>
        <w:t xml:space="preserve">Transparency: </w:t>
      </w:r>
      <w:r>
        <w:rPr>
          <w:rFonts w:ascii="Arial" w:cs="Arial" w:eastAsia="Arial" w:hAnsi="Arial"/>
          <w:color w:val="1A1A1A"/>
          <w:sz w:val="22"/>
          <w:szCs w:val="22"/>
        </w:rPr>
        <w:t xml:space="preserve">Every AI decision in Tier 1 and Tier 2 systems produces an explainability report. No black-box models in safety-critical or regulated environments.</w:t>
      </w:r>
    </w:p>
    <w:p>
      <w:pPr>
        <w:spacing w:after="100"/>
      </w:pPr>
      <w:r>
        <w:rPr>
          <w:rFonts w:ascii="Arial" w:cs="Arial" w:eastAsia="Arial" w:hAnsi="Arial"/>
          <w:b/>
          <w:bCs/>
          <w:color w:val="1A1A1A"/>
          <w:sz w:val="22"/>
          <w:szCs w:val="22"/>
        </w:rPr>
        <w:t xml:space="preserve">Accountability: </w:t>
      </w:r>
      <w:r>
        <w:rPr>
          <w:rFonts w:ascii="Arial" w:cs="Arial" w:eastAsia="Arial" w:hAnsi="Arial"/>
          <w:color w:val="1A1A1A"/>
          <w:sz w:val="22"/>
          <w:szCs w:val="22"/>
        </w:rPr>
        <w:t xml:space="preserve">Every model in production has a named owner at RTX. Model registry tracks lineage, training data, performance metrics, and approval history.</w:t>
      </w:r>
    </w:p>
    <w:p>
      <w:pPr>
        <w:spacing w:after="100"/>
      </w:pPr>
      <w:r>
        <w:rPr>
          <w:rFonts w:ascii="Arial" w:cs="Arial" w:eastAsia="Arial" w:hAnsi="Arial"/>
          <w:b/>
          <w:bCs/>
          <w:color w:val="1A1A1A"/>
          <w:sz w:val="22"/>
          <w:szCs w:val="22"/>
        </w:rPr>
        <w:t xml:space="preserve">Privacy: </w:t>
      </w:r>
      <w:r>
        <w:rPr>
          <w:rFonts w:ascii="Arial" w:cs="Arial" w:eastAsia="Arial" w:hAnsi="Arial"/>
          <w:color w:val="1A1A1A"/>
          <w:sz w:val="22"/>
          <w:szCs w:val="22"/>
        </w:rPr>
        <w:t xml:space="preserve">ITAR-controlled data processed only in Azure Government IL5. No cross-border transfer without CPO + CTO written approval. CMMC compliance mandatory.</w:t>
      </w:r>
    </w:p>
    <w:p>
      <w:pPr>
        <w:spacing w:after="100"/>
      </w:pPr>
      <w:r>
        <w:rPr>
          <w:rFonts w:ascii="Arial" w:cs="Arial" w:eastAsia="Arial" w:hAnsi="Arial"/>
          <w:b/>
          <w:bCs/>
          <w:color w:val="1A1A1A"/>
          <w:sz w:val="22"/>
          <w:szCs w:val="22"/>
        </w:rPr>
        <w:t xml:space="preserve">Safety: </w:t>
      </w:r>
      <w:r>
        <w:rPr>
          <w:rFonts w:ascii="Arial" w:cs="Arial" w:eastAsia="Arial" w:hAnsi="Arial"/>
          <w:color w:val="1A1A1A"/>
          <w:sz w:val="22"/>
          <w:szCs w:val="22"/>
        </w:rPr>
        <w:t xml:space="preserve">AI incident response plan with severity levels, escalation paths, model rollback, and root cause analysis procedures.</w:t>
      </w:r>
    </w:p>
    <w:p>
      <w:pPr>
        <w:pStyle w:val="Heading2"/>
      </w:pPr>
      <w:r>
        <w:t xml:space="preserve">7.3 Model Lifecycle Management</w:t>
      </w:r>
    </w:p>
    <w:p>
      <w:pPr>
        <w:spacing w:after="140"/>
      </w:pPr>
      <w:r>
        <w:rPr>
          <w:rFonts w:ascii="Arial" w:cs="Arial" w:eastAsia="Arial" w:hAnsi="Arial"/>
          <w:color w:val="1A1A1A"/>
          <w:sz w:val="22"/>
          <w:szCs w:val="22"/>
        </w:rPr>
        <w:t xml:space="preserve">Every AI model follows a six-stage lifecycle managed through the centralized model registry:</w:t>
      </w:r>
    </w:p>
    <w:p>
      <w:pPr>
        <w:spacing w:after="100"/>
      </w:pPr>
      <w:r>
        <w:rPr>
          <w:rFonts w:ascii="Arial" w:cs="Arial" w:eastAsia="Arial" w:hAnsi="Arial"/>
          <w:b/>
          <w:bCs/>
          <w:color w:val="1A1A1A"/>
          <w:sz w:val="22"/>
          <w:szCs w:val="22"/>
        </w:rPr>
        <w:t xml:space="preserve">1. Development: </w:t>
      </w:r>
      <w:r>
        <w:rPr>
          <w:rFonts w:ascii="Arial" w:cs="Arial" w:eastAsia="Arial" w:hAnsi="Arial"/>
          <w:color w:val="1A1A1A"/>
          <w:sz w:val="22"/>
          <w:szCs w:val="22"/>
        </w:rPr>
        <w:t xml:space="preserve">Model built in sandboxed environment with synthetic or approved training data. Bias testing before any production consideration.</w:t>
      </w:r>
    </w:p>
    <w:p>
      <w:pPr>
        <w:spacing w:after="100"/>
      </w:pPr>
      <w:r>
        <w:rPr>
          <w:rFonts w:ascii="Arial" w:cs="Arial" w:eastAsia="Arial" w:hAnsi="Arial"/>
          <w:b/>
          <w:bCs/>
          <w:color w:val="1A1A1A"/>
          <w:sz w:val="22"/>
          <w:szCs w:val="22"/>
        </w:rPr>
        <w:t xml:space="preserve">2. Validation: </w:t>
      </w:r>
      <w:r>
        <w:rPr>
          <w:rFonts w:ascii="Arial" w:cs="Arial" w:eastAsia="Arial" w:hAnsi="Arial"/>
          <w:color w:val="1A1A1A"/>
          <w:sz w:val="22"/>
          <w:szCs w:val="22"/>
        </w:rPr>
        <w:t xml:space="preserve">Independent validation against accuracy, fairness, and security criteria. Tier 1 models require dual-team validation.</w:t>
      </w:r>
    </w:p>
    <w:p>
      <w:pPr>
        <w:spacing w:after="100"/>
      </w:pPr>
      <w:r>
        <w:rPr>
          <w:rFonts w:ascii="Arial" w:cs="Arial" w:eastAsia="Arial" w:hAnsi="Arial"/>
          <w:b/>
          <w:bCs/>
          <w:color w:val="1A1A1A"/>
          <w:sz w:val="22"/>
          <w:szCs w:val="22"/>
        </w:rPr>
        <w:t xml:space="preserve">3. Deployment Gate: </w:t>
      </w:r>
      <w:r>
        <w:rPr>
          <w:rFonts w:ascii="Arial" w:cs="Arial" w:eastAsia="Arial" w:hAnsi="Arial"/>
          <w:color w:val="1A1A1A"/>
          <w:sz w:val="22"/>
          <w:szCs w:val="22"/>
        </w:rPr>
        <w:t xml:space="preserve">Formal review: accuracy metrics, bias results, security scan, operational readiness, rollback plan, owner assignment. No model enters production without gate approval.</w:t>
      </w:r>
    </w:p>
    <w:p>
      <w:pPr>
        <w:spacing w:after="100"/>
      </w:pPr>
      <w:r>
        <w:rPr>
          <w:rFonts w:ascii="Arial" w:cs="Arial" w:eastAsia="Arial" w:hAnsi="Arial"/>
          <w:b/>
          <w:bCs/>
          <w:color w:val="1A1A1A"/>
          <w:sz w:val="22"/>
          <w:szCs w:val="22"/>
        </w:rPr>
        <w:t xml:space="preserve">4. Production: </w:t>
      </w:r>
      <w:r>
        <w:rPr>
          <w:rFonts w:ascii="Arial" w:cs="Arial" w:eastAsia="Arial" w:hAnsi="Arial"/>
          <w:color w:val="1A1A1A"/>
          <w:sz w:val="22"/>
          <w:szCs w:val="22"/>
        </w:rPr>
        <w:t xml:space="preserve">Continuous monitoring: accuracy drift, data drift, performance degradation. Automated alerts if metrics fall below thresholds.</w:t>
      </w:r>
    </w:p>
    <w:p>
      <w:pPr>
        <w:spacing w:after="100"/>
      </w:pPr>
      <w:r>
        <w:rPr>
          <w:rFonts w:ascii="Arial" w:cs="Arial" w:eastAsia="Arial" w:hAnsi="Arial"/>
          <w:b/>
          <w:bCs/>
          <w:color w:val="1A1A1A"/>
          <w:sz w:val="22"/>
          <w:szCs w:val="22"/>
        </w:rPr>
        <w:t xml:space="preserve">5. Revalidation: </w:t>
      </w:r>
      <w:r>
        <w:rPr>
          <w:rFonts w:ascii="Arial" w:cs="Arial" w:eastAsia="Arial" w:hAnsi="Arial"/>
          <w:color w:val="1A1A1A"/>
          <w:sz w:val="22"/>
          <w:szCs w:val="22"/>
        </w:rPr>
        <w:t xml:space="preserve">No model runs in production for more than 90 days without performance revalidation. Tier 1 models revalidated monthly.</w:t>
      </w:r>
    </w:p>
    <w:p>
      <w:pPr>
        <w:spacing w:after="100"/>
      </w:pPr>
      <w:r>
        <w:rPr>
          <w:rFonts w:ascii="Arial" w:cs="Arial" w:eastAsia="Arial" w:hAnsi="Arial"/>
          <w:b/>
          <w:bCs/>
          <w:color w:val="1A1A1A"/>
          <w:sz w:val="22"/>
          <w:szCs w:val="22"/>
        </w:rPr>
        <w:t xml:space="preserve">6. Retirement: </w:t>
      </w:r>
      <w:r>
        <w:rPr>
          <w:rFonts w:ascii="Arial" w:cs="Arial" w:eastAsia="Arial" w:hAnsi="Arial"/>
          <w:color w:val="1A1A1A"/>
          <w:sz w:val="22"/>
          <w:szCs w:val="22"/>
        </w:rPr>
        <w:t xml:space="preserve">Documented decommissioning with stakeholder sign-off, data archival per retention policies, and audit trail preservation.</w:t>
      </w:r>
    </w:p>
    <w:p>
      <w:pPr>
        <w:pStyle w:val="Heading2"/>
      </w:pPr>
      <w:r>
        <w:t xml:space="preserve">7.4 Compliance Matrix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62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AION Technical Control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ITAR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Government IL5; US-person-only AI team; automated data classification; export control tagging on all datasets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CMMC Level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Zero-trust architecture; continuous monitoring; incident response plan; access control per NIST 800-171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SOX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Immutable audit trails; segregation of duties in AI model approval; automated financial close reconciliation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AS9100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Quality management integrated into AI model lifecycle; traceability from sensor data to quality decision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DFARS 252.204-7012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Covered defense information handled per clause requirements; 72-hour incident reporting; cloud provider FedRAMP 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Cost accounting AI models validated against CAS standards; automated cost allocation per contract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Government contract terms encoded in AI agents; automated compliance checking for contract modifications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NADCAP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Special process AI (heat treatment, NDT) requires Tier 1 governance; human approval for all process parameter changes</w:t>
            </w:r>
          </w:p>
        </w:tc>
      </w:tr>
    </w:tbl>
    <w:p>
      <w:r>
        <w:br w:type="page"/>
      </w:r>
    </w:p>
    <w:p>
      <w:pPr>
        <w:pStyle w:val="Heading1"/>
      </w:pPr>
      <w:r>
        <w:t xml:space="preserve">Section 8: References &amp; Evidence</w:t>
      </w:r>
    </w:p>
    <w:p>
      <w:pPr>
        <w:pStyle w:val="Heading2"/>
      </w:pPr>
      <w:r>
        <w:t xml:space="preserve">8.1 Case Study 1: Global Aerospace OEM — Predictive MRO Transformation</w:t>
      </w:r>
    </w:p>
    <w:p>
      <w:pPr>
        <w:spacing w:after="100"/>
      </w:pPr>
      <w:r>
        <w:rPr>
          <w:rFonts w:ascii="Arial" w:cs="Arial" w:eastAsia="Arial" w:hAnsi="Arial"/>
          <w:b/>
          <w:bCs/>
          <w:color w:val="1A1A1A"/>
          <w:sz w:val="22"/>
          <w:szCs w:val="22"/>
        </w:rPr>
        <w:t xml:space="preserve">Client: </w:t>
      </w:r>
      <w:r>
        <w:rPr>
          <w:rFonts w:ascii="Arial" w:cs="Arial" w:eastAsia="Arial" w:hAnsi="Arial"/>
          <w:color w:val="1A1A1A"/>
          <w:sz w:val="22"/>
          <w:szCs w:val="22"/>
        </w:rPr>
        <w:t xml:space="preserve">Top 5 global aerospace OEM (commercial and defense segments)</w:t>
      </w:r>
    </w:p>
    <w:p>
      <w:pPr>
        <w:spacing w:after="100"/>
      </w:pPr>
      <w:r>
        <w:rPr>
          <w:rFonts w:ascii="Arial" w:cs="Arial" w:eastAsia="Arial" w:hAnsi="Arial"/>
          <w:b/>
          <w:bCs/>
          <w:color w:val="1A1A1A"/>
          <w:sz w:val="22"/>
          <w:szCs w:val="22"/>
        </w:rPr>
        <w:t xml:space="preserve">Challenge: </w:t>
      </w:r>
      <w:r>
        <w:rPr>
          <w:rFonts w:ascii="Arial" w:cs="Arial" w:eastAsia="Arial" w:hAnsi="Arial"/>
          <w:color w:val="1A1A1A"/>
          <w:sz w:val="22"/>
          <w:szCs w:val="22"/>
        </w:rPr>
        <w:t xml:space="preserve">Manual maintenance scheduling across 200+ engine types; $2.3B aftermarket revenue with 15% margin pressure from unplanned AOG events</w:t>
      </w:r>
    </w:p>
    <w:p>
      <w:pPr>
        <w:spacing w:after="10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HCLTech deployed iMRO/4 on SAP S/4HANA with AI-driven predictive maintenance models integrated via AI Foundry. Computer vision quality inspection at 12 MRO facilities.</w:t>
      </w:r>
    </w:p>
    <w:p>
      <w:pPr>
        <w:spacing w:after="100"/>
      </w:pPr>
      <w:r>
        <w:rPr>
          <w:rFonts w:ascii="Arial" w:cs="Arial" w:eastAsia="Arial" w:hAnsi="Arial"/>
          <w:b/>
          <w:bCs/>
          <w:color w:val="1A1A1A"/>
          <w:sz w:val="22"/>
          <w:szCs w:val="22"/>
        </w:rPr>
        <w:t xml:space="preserve">Outcome: </w:t>
      </w:r>
      <w:r>
        <w:rPr>
          <w:rFonts w:ascii="Arial" w:cs="Arial" w:eastAsia="Arial" w:hAnsi="Arial"/>
          <w:color w:val="1A1A1A"/>
          <w:sz w:val="22"/>
          <w:szCs w:val="22"/>
        </w:rPr>
        <w:t xml:space="preserve">22% reduction in unplanned AOG events ($180M annual savings). MRO turnaround time reduced by 18%. Engine health monitoring connected to aftermarket pricing, generating $45M in incremental revenue.</w:t>
      </w:r>
    </w:p>
    <w:p>
      <w:pPr>
        <w:spacing w:after="100"/>
      </w:pPr>
      <w:r>
        <w:rPr>
          <w:rFonts w:ascii="Arial" w:cs="Arial" w:eastAsia="Arial" w:hAnsi="Arial"/>
          <w:b/>
          <w:bCs/>
          <w:color w:val="1A1A1A"/>
          <w:sz w:val="22"/>
          <w:szCs w:val="22"/>
        </w:rPr>
        <w:t xml:space="preserve">Team Size: </w:t>
      </w:r>
      <w:r>
        <w:rPr>
          <w:rFonts w:ascii="Arial" w:cs="Arial" w:eastAsia="Arial" w:hAnsi="Arial"/>
          <w:color w:val="1A1A1A"/>
          <w:sz w:val="22"/>
          <w:szCs w:val="22"/>
        </w:rPr>
        <w:t xml:space="preserve">85 HCLTech professionals over 36 months</w:t>
      </w:r>
    </w:p>
    <w:p>
      <w:pPr>
        <w:spacing w:after="100"/>
      </w:pPr>
      <w:r>
        <w:rPr>
          <w:rFonts w:ascii="Arial" w:cs="Arial" w:eastAsia="Arial" w:hAnsi="Arial"/>
          <w:b/>
          <w:bCs/>
          <w:color w:val="1A1A1A"/>
          <w:sz w:val="22"/>
          <w:szCs w:val="22"/>
        </w:rPr>
        <w:t xml:space="preserve">Technology: </w:t>
      </w:r>
      <w:r>
        <w:rPr>
          <w:rFonts w:ascii="Arial" w:cs="Arial" w:eastAsia="Arial" w:hAnsi="Arial"/>
          <w:color w:val="1A1A1A"/>
          <w:sz w:val="22"/>
          <w:szCs w:val="22"/>
        </w:rPr>
        <w:t xml:space="preserve">AI Force, iMRO/4, SAP S/4HANA, Azure, computer vision, time-series prediction</w:t>
      </w:r>
    </w:p>
    <w:p>
      <w:pPr>
        <w:pStyle w:val="Heading2"/>
      </w:pPr>
      <w:r>
        <w:t xml:space="preserve">8.2 Case Study 2: Defense Contractor — Supply Chain AI</w:t>
      </w:r>
    </w:p>
    <w:p>
      <w:pPr>
        <w:spacing w:after="100"/>
      </w:pPr>
      <w:r>
        <w:rPr>
          <w:rFonts w:ascii="Arial" w:cs="Arial" w:eastAsia="Arial" w:hAnsi="Arial"/>
          <w:b/>
          <w:bCs/>
          <w:color w:val="1A1A1A"/>
          <w:sz w:val="22"/>
          <w:szCs w:val="22"/>
        </w:rPr>
        <w:t xml:space="preserve">Client: </w:t>
      </w:r>
      <w:r>
        <w:rPr>
          <w:rFonts w:ascii="Arial" w:cs="Arial" w:eastAsia="Arial" w:hAnsi="Arial"/>
          <w:color w:val="1A1A1A"/>
          <w:sz w:val="22"/>
          <w:szCs w:val="22"/>
        </w:rPr>
        <w:t xml:space="preserve">US defense contractor with 15,000+ suppliers and $8B annual procurement</w:t>
      </w:r>
    </w:p>
    <w:p>
      <w:pPr>
        <w:spacing w:after="100"/>
      </w:pPr>
      <w:r>
        <w:rPr>
          <w:rFonts w:ascii="Arial" w:cs="Arial" w:eastAsia="Arial" w:hAnsi="Arial"/>
          <w:b/>
          <w:bCs/>
          <w:color w:val="1A1A1A"/>
          <w:sz w:val="22"/>
          <w:szCs w:val="22"/>
        </w:rPr>
        <w:t xml:space="preserve">Challenge: </w:t>
      </w:r>
      <w:r>
        <w:rPr>
          <w:rFonts w:ascii="Arial" w:cs="Arial" w:eastAsia="Arial" w:hAnsi="Arial"/>
          <w:color w:val="1A1A1A"/>
          <w:sz w:val="22"/>
          <w:szCs w:val="22"/>
        </w:rPr>
        <w:t xml:space="preserve">Sole-source supplier dependency; ITAR compliance burden on cross-border logistics; manual demand forecasting with 40% forecast error</w:t>
      </w:r>
    </w:p>
    <w:p>
      <w:pPr>
        <w:spacing w:after="10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AI-powered supply chain risk monitoring platform built on AI Foundry. Multi-tier supplier visibility with automated ITAR compliance checking. Demand forecasting AI reducing forecast error to 12%.</w:t>
      </w:r>
    </w:p>
    <w:p>
      <w:pPr>
        <w:spacing w:after="100"/>
      </w:pPr>
      <w:r>
        <w:rPr>
          <w:rFonts w:ascii="Arial" w:cs="Arial" w:eastAsia="Arial" w:hAnsi="Arial"/>
          <w:b/>
          <w:bCs/>
          <w:color w:val="1A1A1A"/>
          <w:sz w:val="22"/>
          <w:szCs w:val="22"/>
        </w:rPr>
        <w:t xml:space="preserve">Outcome: </w:t>
      </w:r>
      <w:r>
        <w:rPr>
          <w:rFonts w:ascii="Arial" w:cs="Arial" w:eastAsia="Arial" w:hAnsi="Arial"/>
          <w:color w:val="1A1A1A"/>
          <w:sz w:val="22"/>
          <w:szCs w:val="22"/>
        </w:rPr>
        <w:t xml:space="preserve">Supply chain disruption response time reduced from 14 days to 2 days. $95M in procurement savings over 3 years through AI-optimized sourcing. ITAR compliance automation saving 12,000 person-hours annually.</w:t>
      </w:r>
    </w:p>
    <w:p>
      <w:pPr>
        <w:spacing w:after="100"/>
      </w:pPr>
      <w:r>
        <w:rPr>
          <w:rFonts w:ascii="Arial" w:cs="Arial" w:eastAsia="Arial" w:hAnsi="Arial"/>
          <w:b/>
          <w:bCs/>
          <w:color w:val="1A1A1A"/>
          <w:sz w:val="22"/>
          <w:szCs w:val="22"/>
        </w:rPr>
        <w:t xml:space="preserve">Team Size: </w:t>
      </w:r>
      <w:r>
        <w:rPr>
          <w:rFonts w:ascii="Arial" w:cs="Arial" w:eastAsia="Arial" w:hAnsi="Arial"/>
          <w:color w:val="1A1A1A"/>
          <w:sz w:val="22"/>
          <w:szCs w:val="22"/>
        </w:rPr>
        <w:t xml:space="preserve">45 HCLTech professionals over 24 months</w:t>
      </w:r>
    </w:p>
    <w:p>
      <w:pPr>
        <w:spacing w:after="100"/>
      </w:pPr>
      <w:r>
        <w:rPr>
          <w:rFonts w:ascii="Arial" w:cs="Arial" w:eastAsia="Arial" w:hAnsi="Arial"/>
          <w:b/>
          <w:bCs/>
          <w:color w:val="1A1A1A"/>
          <w:sz w:val="22"/>
          <w:szCs w:val="22"/>
        </w:rPr>
        <w:t xml:space="preserve">Technology: </w:t>
      </w:r>
      <w:r>
        <w:rPr>
          <w:rFonts w:ascii="Arial" w:cs="Arial" w:eastAsia="Arial" w:hAnsi="Arial"/>
          <w:color w:val="1A1A1A"/>
          <w:sz w:val="22"/>
          <w:szCs w:val="22"/>
        </w:rPr>
        <w:t xml:space="preserve">AI Foundry, Azure Government, NLP for contract analysis, predictive analytics</w:t>
      </w:r>
    </w:p>
    <w:p>
      <w:pPr>
        <w:pStyle w:val="Heading2"/>
      </w:pPr>
      <w:r>
        <w:t xml:space="preserve">8.3 Case Study 3: Fortune 200 Technology Company — Enterprise AI at Scale</w:t>
      </w:r>
    </w:p>
    <w:p>
      <w:pPr>
        <w:spacing w:after="100"/>
      </w:pPr>
      <w:r>
        <w:rPr>
          <w:rFonts w:ascii="Arial" w:cs="Arial" w:eastAsia="Arial" w:hAnsi="Arial"/>
          <w:b/>
          <w:bCs/>
          <w:color w:val="1A1A1A"/>
          <w:sz w:val="22"/>
          <w:szCs w:val="22"/>
        </w:rPr>
        <w:t xml:space="preserve">Client: </w:t>
      </w:r>
      <w:r>
        <w:rPr>
          <w:rFonts w:ascii="Arial" w:cs="Arial" w:eastAsia="Arial" w:hAnsi="Arial"/>
          <w:color w:val="1A1A1A"/>
          <w:sz w:val="22"/>
          <w:szCs w:val="22"/>
        </w:rPr>
        <w:t xml:space="preserve">Fortune 200 technology company selecting AI Force for enterprise-wide ITO transformation</w:t>
      </w:r>
    </w:p>
    <w:p>
      <w:pPr>
        <w:spacing w:after="100"/>
      </w:pPr>
      <w:r>
        <w:rPr>
          <w:rFonts w:ascii="Arial" w:cs="Arial" w:eastAsia="Arial" w:hAnsi="Arial"/>
          <w:b/>
          <w:bCs/>
          <w:color w:val="1A1A1A"/>
          <w:sz w:val="22"/>
          <w:szCs w:val="22"/>
        </w:rPr>
        <w:t xml:space="preserve">Challenge: </w:t>
      </w:r>
      <w:r>
        <w:rPr>
          <w:rFonts w:ascii="Arial" w:cs="Arial" w:eastAsia="Arial" w:hAnsi="Arial"/>
          <w:color w:val="1A1A1A"/>
          <w:sz w:val="22"/>
          <w:szCs w:val="22"/>
        </w:rPr>
        <w:t xml:space="preserve">500,000+ support tickets/month; legacy application portfolio of 800+ apps; 60% IT budget on maintenance</w:t>
      </w:r>
    </w:p>
    <w:p>
      <w:pPr>
        <w:spacing w:after="10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AI Force deployed across software engineering and IT operations lifecycle. Agentic AI for ticket routing, code modernization, and automated testing. Application rationalization roadmap executed in parallel.</w:t>
      </w:r>
    </w:p>
    <w:p>
      <w:pPr>
        <w:spacing w:after="100"/>
      </w:pPr>
      <w:r>
        <w:rPr>
          <w:rFonts w:ascii="Arial" w:cs="Arial" w:eastAsia="Arial" w:hAnsi="Arial"/>
          <w:b/>
          <w:bCs/>
          <w:color w:val="1A1A1A"/>
          <w:sz w:val="22"/>
          <w:szCs w:val="22"/>
        </w:rPr>
        <w:t xml:space="preserve">Outcome: </w:t>
      </w:r>
      <w:r>
        <w:rPr>
          <w:rFonts w:ascii="Arial" w:cs="Arial" w:eastAsia="Arial" w:hAnsi="Arial"/>
          <w:color w:val="1A1A1A"/>
          <w:sz w:val="22"/>
          <w:szCs w:val="22"/>
        </w:rPr>
        <w:t xml:space="preserve">62% L1 ticket deflection. Application portfolio reduced from 800 to 340 in 24 months. IT maintenance budget reduced from 60% to 35%, freeing $200M for innovation. Selected over incumbent vendor in competitive evaluation.</w:t>
      </w:r>
    </w:p>
    <w:p>
      <w:pPr>
        <w:spacing w:after="100"/>
      </w:pPr>
      <w:r>
        <w:rPr>
          <w:rFonts w:ascii="Arial" w:cs="Arial" w:eastAsia="Arial" w:hAnsi="Arial"/>
          <w:b/>
          <w:bCs/>
          <w:color w:val="1A1A1A"/>
          <w:sz w:val="22"/>
          <w:szCs w:val="22"/>
        </w:rPr>
        <w:t xml:space="preserve">Team Size: </w:t>
      </w:r>
      <w:r>
        <w:rPr>
          <w:rFonts w:ascii="Arial" w:cs="Arial" w:eastAsia="Arial" w:hAnsi="Arial"/>
          <w:color w:val="1A1A1A"/>
          <w:sz w:val="22"/>
          <w:szCs w:val="22"/>
        </w:rPr>
        <w:t xml:space="preserve">120 HCLTech professionals over 36 months</w:t>
      </w:r>
    </w:p>
    <w:p>
      <w:pPr>
        <w:spacing w:after="100"/>
      </w:pPr>
      <w:r>
        <w:rPr>
          <w:rFonts w:ascii="Arial" w:cs="Arial" w:eastAsia="Arial" w:hAnsi="Arial"/>
          <w:b/>
          <w:bCs/>
          <w:color w:val="1A1A1A"/>
          <w:sz w:val="22"/>
          <w:szCs w:val="22"/>
        </w:rPr>
        <w:t xml:space="preserve">Technology: </w:t>
      </w:r>
      <w:r>
        <w:rPr>
          <w:rFonts w:ascii="Arial" w:cs="Arial" w:eastAsia="Arial" w:hAnsi="Arial"/>
          <w:color w:val="1A1A1A"/>
          <w:sz w:val="22"/>
          <w:szCs w:val="22"/>
        </w:rPr>
        <w:t xml:space="preserve">AI Force, Azure, GitHub Copilot integration, agentic AI orchestration</w:t>
      </w:r>
    </w:p>
    <w:p>
      <w:pPr>
        <w:pStyle w:val="Heading2"/>
      </w:pPr>
      <w:r>
        <w:t xml:space="preserve">8.4 Industry Recognition</w:t>
      </w:r>
    </w:p>
    <w:p>
      <w:pPr>
        <w:spacing w:after="100"/>
      </w:pPr>
      <w:r>
        <w:rPr>
          <w:rFonts w:ascii="Arial" w:cs="Arial" w:eastAsia="Arial" w:hAnsi="Arial"/>
          <w:b/>
          <w:bCs/>
          <w:color w:val="1A1A1A"/>
          <w:sz w:val="22"/>
          <w:szCs w:val="22"/>
        </w:rPr>
        <w:t xml:space="preserve">ISG Provider Lens 2025: </w:t>
      </w:r>
      <w:r>
        <w:rPr>
          <w:rFonts w:ascii="Arial" w:cs="Arial" w:eastAsia="Arial" w:hAnsi="Arial"/>
          <w:color w:val="1A1A1A"/>
          <w:sz w:val="22"/>
          <w:szCs w:val="22"/>
        </w:rPr>
        <w:t xml:space="preserve">Leader in all 4 quadrants of Aerospace &amp; Defense Services (Engineering, Supply Chain, MRO, Technology Transformation)</w:t>
      </w:r>
    </w:p>
    <w:p>
      <w:pPr>
        <w:spacing w:after="100"/>
      </w:pPr>
      <w:r>
        <w:rPr>
          <w:rFonts w:ascii="Arial" w:cs="Arial" w:eastAsia="Arial" w:hAnsi="Arial"/>
          <w:b/>
          <w:bCs/>
          <w:color w:val="1A1A1A"/>
          <w:sz w:val="22"/>
          <w:szCs w:val="22"/>
        </w:rPr>
        <w:t xml:space="preserve">TBR Special Report: </w:t>
      </w:r>
      <w:r>
        <w:rPr>
          <w:rFonts w:ascii="Arial" w:cs="Arial" w:eastAsia="Arial" w:hAnsi="Arial"/>
          <w:color w:val="1A1A1A"/>
          <w:sz w:val="22"/>
          <w:szCs w:val="22"/>
        </w:rPr>
        <w:t xml:space="preserve">AI Force recognized as scalable, modular, and backed by proven AI expertise</w:t>
      </w:r>
    </w:p>
    <w:p>
      <w:pPr>
        <w:spacing w:after="100"/>
      </w:pPr>
      <w:r>
        <w:rPr>
          <w:rFonts w:ascii="Arial" w:cs="Arial" w:eastAsia="Arial" w:hAnsi="Arial"/>
          <w:b/>
          <w:bCs/>
          <w:color w:val="1A1A1A"/>
          <w:sz w:val="22"/>
          <w:szCs w:val="22"/>
        </w:rPr>
        <w:t xml:space="preserve">Ethisphere 2025: </w:t>
      </w:r>
      <w:r>
        <w:rPr>
          <w:rFonts w:ascii="Arial" w:cs="Arial" w:eastAsia="Arial" w:hAnsi="Arial"/>
          <w:color w:val="1A1A1A"/>
          <w:sz w:val="22"/>
          <w:szCs w:val="22"/>
        </w:rPr>
        <w:t xml:space="preserve">World’s Most Ethical Companies for 2 consecutive years</w:t>
      </w:r>
    </w:p>
    <w:p>
      <w:pPr>
        <w:spacing w:after="100"/>
      </w:pPr>
      <w:r>
        <w:rPr>
          <w:rFonts w:ascii="Arial" w:cs="Arial" w:eastAsia="Arial" w:hAnsi="Arial"/>
          <w:b/>
          <w:bCs/>
          <w:color w:val="1A1A1A"/>
          <w:sz w:val="22"/>
          <w:szCs w:val="22"/>
        </w:rPr>
        <w:t xml:space="preserve">Gartner Peer Insights: </w:t>
      </w:r>
      <w:r>
        <w:rPr>
          <w:rFonts w:ascii="Arial" w:cs="Arial" w:eastAsia="Arial" w:hAnsi="Arial"/>
          <w:color w:val="1A1A1A"/>
          <w:sz w:val="22"/>
          <w:szCs w:val="22"/>
        </w:rPr>
        <w:t xml:space="preserve">Only provider rated Customers’ Choice in all 6 IT Services Voice of Customer reports</w:t>
      </w:r>
    </w:p>
    <w:p>
      <w:pPr>
        <w:spacing w:after="100"/>
      </w:pPr>
      <w:r>
        <w:rPr>
          <w:rFonts w:ascii="Arial" w:cs="Arial" w:eastAsia="Arial" w:hAnsi="Arial"/>
          <w:b/>
          <w:bCs/>
          <w:color w:val="1A1A1A"/>
          <w:sz w:val="22"/>
          <w:szCs w:val="22"/>
        </w:rPr>
        <w:t xml:space="preserve">ITAR Compliance: </w:t>
      </w:r>
      <w:r>
        <w:rPr>
          <w:rFonts w:ascii="Arial" w:cs="Arial" w:eastAsia="Arial" w:hAnsi="Arial"/>
          <w:color w:val="1A1A1A"/>
          <w:sz w:val="22"/>
          <w:szCs w:val="22"/>
        </w:rPr>
        <w:t xml:space="preserve">7 ITAR-compliant delivery centers in the United States</w:t>
      </w:r>
    </w:p>
    <w:p>
      <w:pPr>
        <w:spacing w:after="100"/>
      </w:pPr>
      <w:r>
        <w:rPr>
          <w:rFonts w:ascii="Arial" w:cs="Arial" w:eastAsia="Arial" w:hAnsi="Arial"/>
          <w:b/>
          <w:bCs/>
          <w:color w:val="1A1A1A"/>
          <w:sz w:val="22"/>
          <w:szCs w:val="22"/>
        </w:rPr>
        <w:t xml:space="preserve">AI Scale: </w:t>
      </w:r>
      <w:r>
        <w:rPr>
          <w:rFonts w:ascii="Arial" w:cs="Arial" w:eastAsia="Arial" w:hAnsi="Arial"/>
          <w:color w:val="1A1A1A"/>
          <w:sz w:val="22"/>
          <w:szCs w:val="22"/>
        </w:rPr>
        <w:t xml:space="preserve">500+ AI engagements delivered globally; 400+ clients; AI Force deployed to 100+ enterprises</w:t>
      </w:r>
    </w:p>
    <w:p>
      <w:pPr>
        <w:spacing w:after="100"/>
      </w:pPr>
      <w:r>
        <w:rPr>
          <w:rFonts w:ascii="Arial" w:cs="Arial" w:eastAsia="Arial" w:hAnsi="Arial"/>
          <w:b/>
          <w:bCs/>
          <w:color w:val="1A1A1A"/>
          <w:sz w:val="22"/>
          <w:szCs w:val="22"/>
        </w:rPr>
        <w:t xml:space="preserve">Revenue: </w:t>
      </w:r>
      <w:r>
        <w:rPr>
          <w:rFonts w:ascii="Arial" w:cs="Arial" w:eastAsia="Arial" w:hAnsi="Arial"/>
          <w:color w:val="1A1A1A"/>
          <w:sz w:val="22"/>
          <w:szCs w:val="22"/>
        </w:rPr>
        <w:t xml:space="preserve">$14.5B (12 months ending Dec 2025); 226,300+ professionals across 60 countries</w:t>
      </w:r>
    </w:p>
    <w:p>
      <w:pPr>
        <w:pStyle w:val="Heading2"/>
      </w:pPr>
      <w:r>
        <w:t xml:space="preserve">8.5 Strategic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70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Relevance to RTX Engagement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Microsoft Azure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cloud platform. Azure Government IL5 for ITAR workloads. Co-innovation on AI + SAP.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SAP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Lab in Munich co-innovating on SAP AI Core. iMRO/4 and iPEO for A&amp;D manufacturing. S/4HANA migration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OpenAI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Multi-year strategic collaboration (June 2025). OpenAI models embedded in AI Force for enterprise GenAI.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IBM watsonx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GenAI CoE in New Jersey. Responsible AI framework. Code modernization for legacy defense applications.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NVIDIA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infrastructure optimization. Physical AI for manufacturing computer vision. Edge AI acceleration.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HCLTech | RTX-EOS-RFP-2026-0111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66C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124560CF918E44BDF7BB0232EB6F66" ma:contentTypeVersion="7" ma:contentTypeDescription="Create a new document." ma:contentTypeScope="" ma:versionID="1531fe7024b9e561d618fcb81b57caec">
  <xsd:schema xmlns:xsd="http://www.w3.org/2001/XMLSchema" xmlns:xs="http://www.w3.org/2001/XMLSchema" xmlns:p="http://schemas.microsoft.com/office/2006/metadata/properties" xmlns:ns2="97689581-f45a-4fa7-af78-e4afc81d9722" targetNamespace="http://schemas.microsoft.com/office/2006/metadata/properties" ma:root="true" ma:fieldsID="70fb9ddb93e316af5332029622264cb8" ns2:_="">
    <xsd:import namespace="97689581-f45a-4fa7-af78-e4afc81d97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ustomer_x0020_Name"/>
                <xsd:element ref="ns2:Region" minOccurs="0"/>
                <xsd:element ref="ns2:Meeting_x0020_Date"/>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89581-f45a-4fa7-af78-e4afc81d9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ustomer_x0020_Name" ma:index="11" ma:displayName="Customer Name" ma:internalName="Customer_x0020_Name">
      <xsd:simpleType>
        <xsd:restriction base="dms:Text"/>
      </xsd:simpleType>
    </xsd:element>
    <xsd:element name="Region" ma:index="12" nillable="true" ma:displayName="Region" ma:internalName="Region">
      <xsd:simpleType>
        <xsd:restriction base="dms:Text"/>
      </xsd:simpleType>
    </xsd:element>
    <xsd:element name="Meeting_x0020_Date" ma:index="13" ma:displayName="Meeting Date" ma:format="DateTime" ma:internalName="Meeting_x0020_Date">
      <xsd:simpleType>
        <xsd:restriction base="dms:DateTime"/>
      </xsd:simpleType>
    </xsd:element>
    <xsd:element name="Comments" ma:index="14" nillable="true" ma:displayName="Comments" ma:internalName="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eting_x0020_Date xmlns="97689581-f45a-4fa7-af78-e4afc81d9722"/>
    <Comments xmlns="97689581-f45a-4fa7-af78-e4afc81d9722" xsi:nil="true"/>
    <Customer_x0020_Name xmlns="97689581-f45a-4fa7-af78-e4afc81d9722"/>
    <Region xmlns="97689581-f45a-4fa7-af78-e4afc81d9722" xsi:nil="true"/>
  </documentManagement>
</p:properties>
</file>

<file path=customXml/itemProps1.xml><?xml version="1.0" encoding="utf-8"?>
<ds:datastoreItem xmlns:ds="http://schemas.openxmlformats.org/officeDocument/2006/customXml" ds:itemID="{331FA178-D504-4313-8B06-8F50EB0C368F}"/>
</file>

<file path=customXml/itemProps2.xml><?xml version="1.0" encoding="utf-8"?>
<ds:datastoreItem xmlns:ds="http://schemas.openxmlformats.org/officeDocument/2006/customXml" ds:itemID="{45A79F6A-FCB8-4743-91DB-42F37705CF47}"/>
</file>

<file path=customXml/itemProps3.xml><?xml version="1.0" encoding="utf-8"?>
<ds:datastoreItem xmlns:ds="http://schemas.openxmlformats.org/officeDocument/2006/customXml" ds:itemID="{5D4CE0D7-2FA9-407F-AF84-8D6DFF32079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2026-03-24T14:31:59Z</dcterms:created>
  <dcterms:modified xsi:type="dcterms:W3CDTF">2026-03-24T14:31:59Z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0x01010006124560CF918E44BDF7BB0232EB6F66</vt:lpwstr>
  </property>
</Properties>
</file>