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val="en-US"/>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Virtual Machine in the Cloud :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3EE58702"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F72D22">
        <w:rPr>
          <w:rFonts w:ascii="Times New Roman" w:hAnsi="Times New Roman" w:cs="Times New Roman"/>
          <w:sz w:val="32"/>
          <w:szCs w:val="32"/>
        </w:rPr>
        <w:t xml:space="preserve">S Akshaya                                                    </w:t>
      </w:r>
      <w:r>
        <w:rPr>
          <w:rFonts w:ascii="Times New Roman" w:hAnsi="Times New Roman" w:cs="Times New Roman"/>
          <w:sz w:val="32"/>
          <w:szCs w:val="32"/>
        </w:rPr>
        <w:t xml:space="preserve"> </w:t>
      </w:r>
      <w:r w:rsidRPr="00EE3259">
        <w:rPr>
          <w:rFonts w:ascii="Times New Roman" w:hAnsi="Times New Roman" w:cs="Times New Roman"/>
          <w:sz w:val="32"/>
          <w:szCs w:val="32"/>
        </w:rPr>
        <w:t>Department:</w:t>
      </w:r>
      <w:r w:rsidR="00F72D22">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val="en-US"/>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pict w14:anchorId="2372292A">
          <v:rect id="_x0000_i105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pict w14:anchorId="6DA1EFF2">
          <v:rect id="_x0000_i105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pict w14:anchorId="787EFFE3">
          <v:rect id="_x0000_i105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48154">
    <w:abstractNumId w:val="2"/>
  </w:num>
  <w:num w:numId="2" w16cid:durableId="916671200">
    <w:abstractNumId w:val="4"/>
  </w:num>
  <w:num w:numId="3" w16cid:durableId="1835366762">
    <w:abstractNumId w:val="7"/>
  </w:num>
  <w:num w:numId="4" w16cid:durableId="511605675">
    <w:abstractNumId w:val="0"/>
  </w:num>
  <w:num w:numId="5" w16cid:durableId="374085858">
    <w:abstractNumId w:val="3"/>
  </w:num>
  <w:num w:numId="6" w16cid:durableId="135072812">
    <w:abstractNumId w:val="14"/>
  </w:num>
  <w:num w:numId="7" w16cid:durableId="40717594">
    <w:abstractNumId w:val="5"/>
  </w:num>
  <w:num w:numId="8" w16cid:durableId="812789727">
    <w:abstractNumId w:val="12"/>
  </w:num>
  <w:num w:numId="9" w16cid:durableId="625891708">
    <w:abstractNumId w:val="9"/>
  </w:num>
  <w:num w:numId="10" w16cid:durableId="1137378658">
    <w:abstractNumId w:val="11"/>
  </w:num>
  <w:num w:numId="11" w16cid:durableId="642740016">
    <w:abstractNumId w:val="8"/>
  </w:num>
  <w:num w:numId="12" w16cid:durableId="748232595">
    <w:abstractNumId w:val="10"/>
  </w:num>
  <w:num w:numId="13" w16cid:durableId="786193130">
    <w:abstractNumId w:val="17"/>
  </w:num>
  <w:num w:numId="14" w16cid:durableId="1324242095">
    <w:abstractNumId w:val="1"/>
  </w:num>
  <w:num w:numId="15" w16cid:durableId="970942146">
    <w:abstractNumId w:val="19"/>
  </w:num>
  <w:num w:numId="16" w16cid:durableId="367219913">
    <w:abstractNumId w:val="13"/>
  </w:num>
  <w:num w:numId="17" w16cid:durableId="2033457778">
    <w:abstractNumId w:val="16"/>
  </w:num>
  <w:num w:numId="18" w16cid:durableId="171378518">
    <w:abstractNumId w:val="6"/>
  </w:num>
  <w:num w:numId="19" w16cid:durableId="649600454">
    <w:abstractNumId w:val="18"/>
  </w:num>
  <w:num w:numId="20" w16cid:durableId="7307335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E1B3E"/>
    <w:rsid w:val="00346D4C"/>
    <w:rsid w:val="003F55A3"/>
    <w:rsid w:val="0050055B"/>
    <w:rsid w:val="006629D0"/>
    <w:rsid w:val="007C57A8"/>
    <w:rsid w:val="008C3558"/>
    <w:rsid w:val="00926C6A"/>
    <w:rsid w:val="009E4742"/>
    <w:rsid w:val="00A7724F"/>
    <w:rsid w:val="00AF3792"/>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5C0D"/>
  <w15:docId w15:val="{E3ECA41D-6A79-4CD0-BC3F-ED16DE17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517</Words>
  <Characters>2947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2</cp:revision>
  <dcterms:created xsi:type="dcterms:W3CDTF">2025-01-30T05:26:00Z</dcterms:created>
  <dcterms:modified xsi:type="dcterms:W3CDTF">2025-01-30T05:26:00Z</dcterms:modified>
</cp:coreProperties>
</file>