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280" w:line="276" w:lineRule="auto"/>
        <w:jc w:val="center"/>
      </w:pPr>
      <w:r>
        <w:rPr>
          <w:rFonts w:ascii="Times New Roman" w:hAnsi="Times New Roman"/>
          <w:b/>
          <w:color w:val="0A193C"/>
          <w:sz w:val="32"/>
        </w:rPr>
        <w:t>EVENT-SELECTIVE INTELLIGENT SENSING SYSTEM FOR ULTRA-LOW POWER SIGNAL ACQUISITION AND MULTI-MODAL FEATURE DETECTION</w:t>
      </w:r>
    </w:p>
    <w:p>
      <w:pPr>
        <w:spacing w:before="80" w:after="280"/>
        <w:jc w:val="center"/>
      </w:pPr>
      <w:r>
        <w:rPr>
          <w:rFonts w:ascii="Times New Roman" w:hAnsi="Times New Roman"/>
          <w:b/>
          <w:color w:val="641414"/>
          <w:sz w:val="26"/>
        </w:rPr>
        <w:t>FINAL PROJECT REPORT</w:t>
      </w:r>
    </w:p>
    <w:p>
      <w:pPr>
        <w:spacing w:before="40" w:after="40"/>
        <w:jc w:val="center"/>
      </w:pPr>
      <w:r>
        <w:rPr>
          <w:rFonts w:ascii="Times New Roman" w:hAnsi="Times New Roman"/>
          <w:i/>
          <w:sz w:val="22"/>
        </w:rPr>
        <w:t>A project report submitted towards the requirements of</w:t>
        <w:br/>
      </w:r>
      <w:r>
        <w:rPr>
          <w:rFonts w:ascii="Times New Roman" w:hAnsi="Times New Roman"/>
          <w:b/>
          <w:sz w:val="24"/>
        </w:rPr>
        <w:t>Signal Processing (24EC2104)</w:t>
        <w:br/>
      </w:r>
      <w:r>
        <w:rPr>
          <w:rFonts w:ascii="Times New Roman" w:hAnsi="Times New Roman"/>
          <w:b/>
          <w:sz w:val="24"/>
        </w:rPr>
        <w:t>Bachelor of Technology</w:t>
        <w:br/>
        <w:t>in</w:t>
        <w:br/>
        <w:t>Electronics and Communication Engineering</w:t>
      </w:r>
    </w:p>
    <w:p>
      <w:pPr>
        <w:spacing w:before="240" w:after="120"/>
        <w:jc w:val="center"/>
      </w:pPr>
      <w:r>
        <w:rPr>
          <w:rFonts w:ascii="Times New Roman" w:hAnsi="Times New Roman"/>
          <w:i/>
          <w:sz w:val="22"/>
        </w:rPr>
        <w:t>Submitted by</w:t>
      </w:r>
    </w:p>
    <w:tbl>
      <w:tblPr>
        <w:tblStyle w:val="TableGrid"/>
        <w:tblW w:type="auto" w:w="0"/>
        <w:jc w:val="center"/>
        <w:tblLook w:firstColumn="1" w:firstRow="1" w:lastColumn="0" w:lastRow="0" w:noHBand="0" w:noVBand="1" w:val="04A0"/>
      </w:tblPr>
      <w:tblGrid>
        <w:gridCol w:w="4716"/>
        <w:gridCol w:w="4716"/>
      </w:tblGrid>
      <w:tr>
        <w:trPr>
          <w:tblHeader/>
        </w:trPr>
        <w:tc>
          <w:tcPr>
            <w:tcW w:type="dxa" w:w="5040"/>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Student Name</w:t>
            </w:r>
          </w:p>
        </w:tc>
        <w:tc>
          <w:tcPr>
            <w:tcW w:type="dxa" w:w="3600"/>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Registration Number</w:t>
            </w:r>
          </w:p>
        </w:tc>
      </w:tr>
      <w:tr>
        <w:tc>
          <w:tcPr>
            <w:tcW w:type="dxa" w:w="504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Rahul Bodduna</w:t>
            </w:r>
          </w:p>
        </w:tc>
        <w:tc>
          <w:tcPr>
            <w:tcW w:type="dxa" w:w="360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2520040002</w:t>
            </w:r>
          </w:p>
        </w:tc>
      </w:tr>
      <w:tr>
        <w:tc>
          <w:tcPr>
            <w:tcW w:type="dxa" w:w="504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Harishwar Reddy Mogiligari</w:t>
            </w:r>
          </w:p>
        </w:tc>
        <w:tc>
          <w:tcPr>
            <w:tcW w:type="dxa" w:w="360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2520040015</w:t>
            </w:r>
          </w:p>
        </w:tc>
      </w:tr>
      <w:tr>
        <w:tc>
          <w:tcPr>
            <w:tcW w:type="dxa" w:w="504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Akshay Boppudi</w:t>
            </w:r>
          </w:p>
        </w:tc>
        <w:tc>
          <w:tcPr>
            <w:tcW w:type="dxa" w:w="360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2520040029</w:t>
            </w:r>
          </w:p>
        </w:tc>
      </w:tr>
    </w:tbl>
    <w:p>
      <w:pPr>
        <w:spacing w:before="0" w:after="120"/>
      </w:pPr>
    </w:p>
    <w:p>
      <w:pPr>
        <w:spacing w:before="160" w:after="160"/>
        <w:jc w:val="center"/>
      </w:pPr>
      <w:r>
        <w:drawing>
          <wp:inline xmlns:a="http://schemas.openxmlformats.org/drawingml/2006/main" xmlns:pic="http://schemas.openxmlformats.org/drawingml/2006/picture">
            <wp:extent cx="1645920" cy="76034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645920" cy="760343"/>
                    </a:xfrm>
                    <a:prstGeom prst="rect"/>
                  </pic:spPr>
                </pic:pic>
              </a:graphicData>
            </a:graphic>
          </wp:inline>
        </w:drawing>
      </w:r>
    </w:p>
    <w:p>
      <w:pPr>
        <w:spacing w:before="120" w:after="80"/>
        <w:jc w:val="center"/>
      </w:pPr>
      <w:r>
        <w:rPr>
          <w:rFonts w:ascii="Times New Roman" w:hAnsi="Times New Roman"/>
          <w:i/>
          <w:sz w:val="22"/>
        </w:rPr>
        <w:t>Under the guidance of</w:t>
        <w:br/>
      </w:r>
      <w:r>
        <w:rPr>
          <w:rFonts w:ascii="Times New Roman" w:hAnsi="Times New Roman"/>
          <w:b/>
          <w:sz w:val="24"/>
        </w:rPr>
        <w:t>Mr. N Lava Prasad</w:t>
        <w:br/>
      </w:r>
      <w:r>
        <w:rPr>
          <w:rFonts w:ascii="Times New Roman" w:hAnsi="Times New Roman"/>
          <w:sz w:val="22"/>
        </w:rPr>
        <w:t>Assistant Professor, Department of ECE</w:t>
      </w:r>
    </w:p>
    <w:p>
      <w:pPr>
        <w:spacing w:before="200" w:after="40"/>
        <w:jc w:val="center"/>
      </w:pPr>
      <w:r>
        <w:rPr>
          <w:rFonts w:ascii="Times New Roman" w:hAnsi="Times New Roman"/>
          <w:b/>
          <w:sz w:val="22"/>
        </w:rPr>
        <w:t>DEPARTMENT OF ELECTRONICS AND COMMUNICATION ENGINEERING</w:t>
        <w:br/>
      </w:r>
      <w:r>
        <w:rPr>
          <w:rFonts w:ascii="Times New Roman" w:hAnsi="Times New Roman"/>
          <w:b/>
          <w:sz w:val="24"/>
        </w:rPr>
        <w:t>KONERU LAKSHMAIAH EDUCATION FOUNDATION</w:t>
        <w:br/>
      </w:r>
      <w:r>
        <w:rPr>
          <w:rFonts w:ascii="Times New Roman" w:hAnsi="Times New Roman"/>
          <w:i/>
          <w:sz w:val="22"/>
        </w:rPr>
        <w:t>(Deemed to be University)</w:t>
        <w:br/>
      </w:r>
      <w:r>
        <w:rPr>
          <w:rFonts w:ascii="Times New Roman" w:hAnsi="Times New Roman"/>
          <w:sz w:val="21"/>
        </w:rPr>
        <w:t>KLH Hyderabad Campus, Aziz Nagar, Hyderabad, Telangana – 500075</w:t>
        <w:br/>
      </w:r>
      <w:r>
        <w:rPr>
          <w:rFonts w:ascii="Times New Roman" w:hAnsi="Times New Roman"/>
          <w:b/>
          <w:sz w:val="22"/>
        </w:rPr>
        <w:t>Academic Year: 2026–27</w:t>
      </w:r>
    </w:p>
    <w:p>
      <w:r>
        <w:br w:type="page"/>
      </w:r>
    </w:p>
    <w:p>
      <w:pPr>
        <w:pStyle w:val="Heading1"/>
        <w:keepNext/>
        <w:spacing w:before="280" w:after="120" w:line="276" w:lineRule="auto"/>
        <w:jc w:val="left"/>
      </w:pPr>
      <w:r>
        <w:rPr>
          <w:rFonts w:ascii="Times New Roman" w:hAnsi="Times New Roman"/>
          <w:b/>
          <w:color w:val="000000"/>
          <w:sz w:val="30"/>
        </w:rPr>
        <w:t>Certificate</w:t>
      </w:r>
    </w:p>
    <w:p>
      <w:pPr>
        <w:spacing w:line="276" w:lineRule="auto" w:after="120" w:before="0"/>
        <w:jc w:val="both"/>
      </w:pPr>
      <w:r>
        <w:rPr>
          <w:rFonts w:ascii="Times New Roman" w:hAnsi="Times New Roman"/>
          <w:color w:val="000000"/>
          <w:sz w:val="24"/>
        </w:rPr>
        <w:t>This is to certify that the project report entitled “EVENT-SELECTIVE INTELLIGENT SENSING SYSTEM FOR ULTRA-LOW POWER SIGNAL ACQUISITION AND MULTI-MODAL FEATURE DETECTION”, submitted by Rahul Bodduna (Reg. No. 2520040002), Harishwar Reddy Mogiligari (Reg. No. 2520040015), and Akshay Boppudi (Reg. No. 2520040029) of the Department of Electronics and Communication Engineering, Koneru Lakshmaiah Education Foundation, is a bonafide record of the project work carried out under my supervision during the Academic Year 2026–27 for the course Signal Processing (24EC2104).</w:t>
      </w:r>
    </w:p>
    <w:p>
      <w:pPr>
        <w:spacing w:line="276" w:lineRule="auto" w:after="120" w:before="0"/>
        <w:jc w:val="both"/>
      </w:pPr>
      <w:r>
        <w:rPr>
          <w:rFonts w:ascii="Times New Roman" w:hAnsi="Times New Roman"/>
          <w:color w:val="000000"/>
          <w:sz w:val="24"/>
        </w:rPr>
        <w:t>The report is submitted towards the partial fulfillment of the requirements for the award of the degree of Bachelor of Technology in Electronics and Communication Engineering. The results embodied in this report have been verified through systematic mathematical modeling, software simulation, and real-time hardware interfacing, and have not been submitted to any other University or Institute for the award of any degree or diploma.</w:t>
      </w:r>
    </w:p>
    <w:p>
      <w:pPr>
        <w:spacing w:before="900" w:after="400" w:line="276" w:lineRule="auto"/>
      </w:pPr>
      <w:r>
        <w:rPr>
          <w:rFonts w:ascii="Times New Roman" w:hAnsi="Times New Roman"/>
          <w:b/>
          <w:sz w:val="24"/>
        </w:rPr>
        <w:t>Project Guide</w:t>
        <w:tab/>
        <w:tab/>
        <w:tab/>
        <w:tab/>
        <w:tab/>
        <w:tab/>
        <w:t>Head of Department</w:t>
        <w:br/>
      </w:r>
      <w:r>
        <w:rPr>
          <w:rFonts w:ascii="Times New Roman" w:hAnsi="Times New Roman"/>
          <w:sz w:val="22"/>
        </w:rPr>
        <w:t>Mr. N Lava Prasad</w:t>
        <w:tab/>
        <w:tab/>
        <w:tab/>
        <w:tab/>
        <w:tab/>
        <w:t>Dr. P. V. Ramana</w:t>
        <w:br/>
      </w:r>
      <w:r>
        <w:rPr>
          <w:rFonts w:ascii="Times New Roman" w:hAnsi="Times New Roman"/>
          <w:sz w:val="21"/>
        </w:rPr>
        <w:t>Assistant Professor, Dept. of ECE</w:t>
        <w:tab/>
        <w:tab/>
        <w:tab/>
        <w:t>Professor &amp; HOD, Dept. of ECE</w:t>
        <w:br/>
      </w:r>
      <w:r>
        <w:rPr>
          <w:rFonts w:ascii="Times New Roman" w:hAnsi="Times New Roman"/>
          <w:sz w:val="22"/>
        </w:rPr>
        <w:t>Signature: ____________________</w:t>
        <w:tab/>
        <w:tab/>
        <w:tab/>
        <w:t>Signature: ____________________</w:t>
        <w:br/>
      </w:r>
      <w:r>
        <w:rPr>
          <w:rFonts w:ascii="Times New Roman" w:hAnsi="Times New Roman"/>
          <w:sz w:val="22"/>
        </w:rPr>
        <w:t>Date: 16 October 2026</w:t>
        <w:tab/>
        <w:tab/>
        <w:tab/>
        <w:tab/>
        <w:tab/>
        <w:t>Date: 16 October 2026</w:t>
      </w:r>
    </w:p>
    <w:p>
      <w:pPr>
        <w:spacing w:line="276" w:lineRule="auto" w:after="240" w:before="0"/>
        <w:jc w:val="both"/>
      </w:pPr>
      <w:r>
        <w:rPr>
          <w:rFonts w:ascii="Times New Roman" w:hAnsi="Times New Roman"/>
          <w:color w:val="000000"/>
          <w:sz w:val="24"/>
        </w:rPr>
        <w:t>Place: Hyderabad</w:t>
        <w:br/>
        <w:t>Date: 16 October 2026</w:t>
      </w:r>
    </w:p>
    <w:p>
      <w:r>
        <w:br w:type="page"/>
      </w:r>
    </w:p>
    <w:p>
      <w:pPr>
        <w:pStyle w:val="Heading1"/>
        <w:keepNext/>
        <w:spacing w:before="280" w:after="120" w:line="276" w:lineRule="auto"/>
        <w:jc w:val="left"/>
      </w:pPr>
      <w:r>
        <w:rPr>
          <w:rFonts w:ascii="Times New Roman" w:hAnsi="Times New Roman"/>
          <w:b/>
          <w:color w:val="000000"/>
          <w:sz w:val="30"/>
        </w:rPr>
        <w:t>Declaration</w:t>
      </w:r>
    </w:p>
    <w:p>
      <w:pPr>
        <w:spacing w:line="276" w:lineRule="auto" w:after="120" w:before="0"/>
        <w:jc w:val="both"/>
      </w:pPr>
      <w:r>
        <w:rPr>
          <w:rFonts w:ascii="Times New Roman" w:hAnsi="Times New Roman"/>
          <w:color w:val="000000"/>
          <w:sz w:val="24"/>
        </w:rPr>
        <w:t>We declare that the project report entitled “EVENT-SELECTIVE INTELLIGENT SENSING SYSTEM FOR ULTRA-LOW POWER SIGNAL ACQUISITION AND MULTI-MODAL FEATURE DETECTION” describes the original work carried out by us for the course Signal Processing (24EC2104) during the Academic Year 2026–27 under the guidance of Mr. N Lava Prasad, Assistant Professor, Department of Electronics and Communication Engineering, Koneru Lakshmaiah Education Foundation.</w:t>
      </w:r>
    </w:p>
    <w:p>
      <w:pPr>
        <w:spacing w:line="276" w:lineRule="auto" w:after="120" w:before="0"/>
        <w:jc w:val="both"/>
      </w:pPr>
      <w:r>
        <w:rPr>
          <w:rFonts w:ascii="Times New Roman" w:hAnsi="Times New Roman"/>
          <w:color w:val="000000"/>
          <w:sz w:val="24"/>
        </w:rPr>
        <w:t>We have acknowledged the sources of all ideas, algorithms, datasets, mathematical formulations, software libraries, and hardware platforms used in this investigation. The reported quantitative findings, performance plots, confusion matrices, and latency measurements correspond accurately to the implementations, automated unit test suites, and empirical trials documented herein. Any reused software packages, third-party libraries, or external assistance have been explicitly cited according to academic integrity standards.</w:t>
      </w:r>
    </w:p>
    <w:tbl>
      <w:tblPr>
        <w:tblStyle w:val="TableGrid"/>
        <w:tblW w:type="auto" w:w="0"/>
        <w:jc w:val="center"/>
        <w:tblLook w:firstColumn="1" w:firstRow="1" w:lastColumn="0" w:lastRow="0" w:noHBand="0" w:noVBand="1" w:val="04A0"/>
      </w:tblPr>
      <w:tblGrid>
        <w:gridCol w:w="3144"/>
        <w:gridCol w:w="3144"/>
        <w:gridCol w:w="3144"/>
      </w:tblGrid>
      <w:tr>
        <w:trPr>
          <w:tblHeader/>
        </w:trPr>
        <w:tc>
          <w:tcPr>
            <w:tcW w:type="dxa" w:w="4032"/>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Student Name</w:t>
            </w:r>
          </w:p>
        </w:tc>
        <w:tc>
          <w:tcPr>
            <w:tcW w:type="dxa" w:w="2880"/>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Registration Number</w:t>
            </w:r>
          </w:p>
        </w:tc>
        <w:tc>
          <w:tcPr>
            <w:tcW w:type="dxa" w:w="2880"/>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Signature</w:t>
            </w:r>
          </w:p>
        </w:tc>
      </w:tr>
      <w:tr>
        <w:tc>
          <w:tcPr>
            <w:tcW w:type="dxa" w:w="403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Rahul Bodduna</w:t>
            </w:r>
          </w:p>
        </w:tc>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2520040002</w:t>
            </w:r>
          </w:p>
        </w:tc>
        <w:tc>
          <w:tcPr>
            <w:tcW w:type="dxa" w:w="2880"/>
            <w:tcMar>
              <w:top w:w="100" w:type="dxa"/>
              <w:bottom w:w="100" w:type="dxa"/>
              <w:left w:w="130" w:type="dxa"/>
              <w:right w:w="130" w:type="dxa"/>
            </w:tcMar>
          </w:tcPr>
          <w:p>
            <w:pPr>
              <w:spacing w:line="252" w:lineRule="auto" w:before="0" w:after="0"/>
              <w:jc w:val="left"/>
            </w:pPr>
            <w:r>
              <w:rPr>
                <w:rFonts w:ascii="Times New Roman" w:hAnsi="Times New Roman"/>
                <w:color w:val="141414"/>
                <w:sz w:val="19"/>
              </w:rPr>
              <w:t>____________________</w:t>
            </w:r>
          </w:p>
        </w:tc>
      </w:tr>
      <w:tr>
        <w:tc>
          <w:tcPr>
            <w:tcW w:type="dxa" w:w="403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Harishwar Reddy Mogiligari</w:t>
            </w:r>
          </w:p>
        </w:tc>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2520040015</w:t>
            </w:r>
          </w:p>
        </w:tc>
        <w:tc>
          <w:tcPr>
            <w:tcW w:type="dxa" w:w="288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____________________</w:t>
            </w:r>
          </w:p>
        </w:tc>
      </w:tr>
      <w:tr>
        <w:tc>
          <w:tcPr>
            <w:tcW w:type="dxa" w:w="403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Akshay Boppudi</w:t>
            </w:r>
          </w:p>
        </w:tc>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2520040029</w:t>
            </w:r>
          </w:p>
        </w:tc>
        <w:tc>
          <w:tcPr>
            <w:tcW w:type="dxa" w:w="2880"/>
            <w:tcMar>
              <w:top w:w="100" w:type="dxa"/>
              <w:bottom w:w="100" w:type="dxa"/>
              <w:left w:w="130" w:type="dxa"/>
              <w:right w:w="130" w:type="dxa"/>
            </w:tcMar>
          </w:tcPr>
          <w:p>
            <w:pPr>
              <w:spacing w:line="252" w:lineRule="auto" w:before="0" w:after="0"/>
              <w:jc w:val="left"/>
            </w:pPr>
            <w:r>
              <w:rPr>
                <w:rFonts w:ascii="Times New Roman" w:hAnsi="Times New Roman"/>
                <w:color w:val="141414"/>
                <w:sz w:val="19"/>
              </w:rPr>
              <w:t>____________________</w:t>
            </w:r>
          </w:p>
        </w:tc>
      </w:tr>
    </w:tbl>
    <w:p>
      <w:pPr>
        <w:spacing w:before="0" w:after="120"/>
      </w:pPr>
    </w:p>
    <w:p>
      <w:pPr>
        <w:spacing w:line="276" w:lineRule="auto" w:after="240" w:before="0"/>
        <w:jc w:val="both"/>
      </w:pPr>
      <w:r>
        <w:rPr>
          <w:rFonts w:ascii="Times New Roman" w:hAnsi="Times New Roman"/>
          <w:color w:val="000000"/>
          <w:sz w:val="24"/>
        </w:rPr>
        <w:t>Date: 16 October 2026</w:t>
        <w:br/>
        <w:t>Place: KLH Hyderabad Campus, Hyderabad</w:t>
      </w:r>
    </w:p>
    <w:p>
      <w:r>
        <w:br w:type="page"/>
      </w:r>
    </w:p>
    <w:p>
      <w:pPr>
        <w:pStyle w:val="Heading1"/>
        <w:keepNext/>
        <w:spacing w:before="280" w:after="120" w:line="276" w:lineRule="auto"/>
        <w:jc w:val="left"/>
      </w:pPr>
      <w:r>
        <w:rPr>
          <w:rFonts w:ascii="Times New Roman" w:hAnsi="Times New Roman"/>
          <w:b/>
          <w:color w:val="000000"/>
          <w:sz w:val="30"/>
        </w:rPr>
        <w:t>Acknowledgements</w:t>
      </w:r>
    </w:p>
    <w:p>
      <w:pPr>
        <w:spacing w:line="276" w:lineRule="auto" w:after="120" w:before="0"/>
        <w:jc w:val="both"/>
      </w:pPr>
      <w:r>
        <w:rPr>
          <w:rFonts w:ascii="Times New Roman" w:hAnsi="Times New Roman"/>
          <w:color w:val="000000"/>
          <w:sz w:val="24"/>
        </w:rPr>
        <w:t>We express our profound gratitude to our project guide, Mr. N Lava Prasad, Assistant Professor, Department of Electronics and Communication Engineering, for his insightful guidance, constructive criticism, and continuous encouragement throughout the conception, mathematical modeling, and experimental execution of this project. His expertise in digital signal processing and embedded system design provided critical direction during algorithm formulation and hardware verification.</w:t>
      </w:r>
    </w:p>
    <w:p>
      <w:pPr>
        <w:spacing w:line="276" w:lineRule="auto" w:after="120" w:before="0"/>
        <w:jc w:val="both"/>
      </w:pPr>
      <w:r>
        <w:rPr>
          <w:rFonts w:ascii="Times New Roman" w:hAnsi="Times New Roman"/>
          <w:color w:val="000000"/>
          <w:sz w:val="24"/>
        </w:rPr>
        <w:t>We extend our sincere thanks to Dr. P. V. Ramana, Professor and Head of the Department of Electronics and Communication Engineering, and the academic coordinator for providing excellent departmental laboratory facilities, computing infrastructure, and encouragement to pursue practical, research-oriented engineering work.</w:t>
      </w:r>
    </w:p>
    <w:p>
      <w:pPr>
        <w:spacing w:line="276" w:lineRule="auto" w:after="120" w:before="0"/>
        <w:jc w:val="both"/>
      </w:pPr>
      <w:r>
        <w:rPr>
          <w:rFonts w:ascii="Times New Roman" w:hAnsi="Times New Roman"/>
          <w:color w:val="000000"/>
          <w:sz w:val="24"/>
        </w:rPr>
        <w:t>We are deeply grateful to the authorities of Koneru Lakshmaiah Education Foundation (Deemed to be University) for establishing an enabling academic environment that fosters innovation and hands-on technological excellence. We also acknowledge the open-source scientific Python community (NumPy, SciPy, FastAPI, SQLAlchemy), the React and Vite frontend ecosystems, and the ESP32 embedded developer community, whose robust software frameworks formed the foundational bedrock of our full-stack implementation.</w:t>
      </w:r>
    </w:p>
    <w:p>
      <w:pPr>
        <w:spacing w:line="276" w:lineRule="auto" w:after="120" w:before="0"/>
        <w:jc w:val="both"/>
      </w:pPr>
      <w:r>
        <w:rPr>
          <w:rFonts w:ascii="Times New Roman" w:hAnsi="Times New Roman"/>
          <w:color w:val="000000"/>
          <w:sz w:val="24"/>
        </w:rPr>
        <w:t>Finally, we thank our parents, fellow classmates, and team peers whose unwavering moral support, feedback, and cooperation were instrumental in bringing this project to successful completion.</w:t>
      </w:r>
    </w:p>
    <w:p>
      <w:r>
        <w:br w:type="page"/>
      </w:r>
    </w:p>
    <w:p>
      <w:pPr>
        <w:pStyle w:val="Heading1"/>
        <w:keepNext/>
        <w:spacing w:before="280" w:after="120" w:line="276" w:lineRule="auto"/>
        <w:jc w:val="left"/>
      </w:pPr>
      <w:r>
        <w:rPr>
          <w:rFonts w:ascii="Times New Roman" w:hAnsi="Times New Roman"/>
          <w:b/>
          <w:color w:val="000000"/>
          <w:sz w:val="30"/>
        </w:rPr>
        <w:t>Abstract</w:t>
      </w:r>
    </w:p>
    <w:p>
      <w:pPr>
        <w:spacing w:line="276" w:lineRule="auto" w:after="120" w:before="0"/>
        <w:jc w:val="both"/>
      </w:pPr>
      <w:r>
        <w:rPr>
          <w:rFonts w:ascii="Times New Roman" w:hAnsi="Times New Roman"/>
          <w:color w:val="000000"/>
          <w:sz w:val="24"/>
        </w:rPr>
        <w:t>Ubiquitous edge Internet-of-Things (IoT) sensing devices in acoustic surveillance, structural health monitoring, and environmental telemetry typically capture continuous, non-stationary physical signals using uniform periodic Nyquist sampling. However, in real-world scenarios, meaningful physical anomalies or “events” occur sparsely, often occupying less than 5% of total monitoring time. Conventional continuous high-rate sampling and uninterrupted transmission result in severe energy dissipation, rapid battery exhaustion, and redundant memory consumption. Conversely, naive threshold-based gating systems invariably clip critical leading-edge transient features and suffer from high false alarm rates triggered by ambient noise spikes.</w:t>
      </w:r>
    </w:p>
    <w:p>
      <w:pPr>
        <w:spacing w:line="276" w:lineRule="auto" w:after="120" w:before="0"/>
        <w:jc w:val="both"/>
      </w:pPr>
      <w:r>
        <w:rPr>
          <w:rFonts w:ascii="Times New Roman" w:hAnsi="Times New Roman"/>
          <w:color w:val="000000"/>
          <w:sz w:val="24"/>
        </w:rPr>
        <w:t>This project presents an Event-Selective Intelligent Sensing System designed for ultra-low power signal acquisition and multi-modal feature detection. The architecture integrates four core innovations: (1) a dual-mode power acquisition model operating at 5.0 mW during low-power standby baseline monitoring and scaling to 150.0 mW active burst mode only upon event confirmation; (2) a robust 5-state finite state machine (FSM) incorporating a 100 ms debounce filter and a 0.7× hysteresis release margin to eliminate noise chatter; (3) lock-free circular ring buffers that preserve a 2.0-second pre-event lead time and a 1.0-second post-event decay tail, guaranteeing zero loss of transient leading edges; (4) a normalized multi-feature fusion engine combining Short-Term Energy (STE), Root-Mean-Square (RMS), discrete maximum slope, Short-Time Fourier Transform (STFT) spectral band energy, Z-score variance change-point detection, and frame differencing; and (5) asynchronous level-crossing non-uniform quantization.</w:t>
      </w:r>
    </w:p>
    <w:p>
      <w:pPr>
        <w:spacing w:line="276" w:lineRule="auto" w:after="120" w:before="0"/>
        <w:jc w:val="both"/>
      </w:pPr>
      <w:r>
        <w:rPr>
          <w:rFonts w:ascii="Times New Roman" w:hAnsi="Times New Roman"/>
          <w:color w:val="000000"/>
          <w:sz w:val="24"/>
        </w:rPr>
        <w:t>The system was validated through comprehensive Python simulations and an end-to-end full-stack deployment featuring a 16 kHz FastAPI backend container, real-time 20 Hz WebSocket streaming, and a high-performance React 19 dashboard. Across 1,000 verified multi-modal test trials, the proposed system achieved an event detection Accuracy of 99.3%, Precision of 96.9%, Recall of 96.0%, and an F1-Score of 96.4%, with an average detection trigger latency of 12.8 ms. Memory footprint was reduced by 85.3% at a 10% event duty cycle, while energy dissipation was cut by 78.4%, extending estimated battery operational lifetime on a standard 2000 mAh Li-ion cell from 74 hours under continuous Nyquist recording to over 342 hours. Asynchronous level-crossing sampling yielded a 79.8% sample count reduction during baseline intervals, establishing an optimal paradigm for ultra-low power edge sensing.</w:t>
      </w:r>
    </w:p>
    <w:p>
      <w:pPr>
        <w:spacing w:line="276" w:lineRule="auto" w:after="240" w:before="0"/>
        <w:jc w:val="both"/>
      </w:pPr>
      <w:r>
        <w:rPr>
          <w:rFonts w:ascii="Times New Roman" w:hAnsi="Times New Roman"/>
          <w:b/>
          <w:color w:val="000000"/>
          <w:sz w:val="24"/>
        </w:rPr>
        <w:t xml:space="preserve">Keywords: </w:t>
      </w:r>
      <w:r>
        <w:rPr>
          <w:rFonts w:ascii="Times New Roman" w:hAnsi="Times New Roman"/>
          <w:color w:val="000000"/>
          <w:sz w:val="24"/>
        </w:rPr>
        <w:t>Keywords: Event-Selective Sensing; Adaptive Sampling; Finite State Machine; Circular Ring Buffer; Multi-Feature Fusion; Level-Crossing Quantization; Ultra-Low Power IoT.</w:t>
      </w:r>
    </w:p>
    <w:p>
      <w:r>
        <w:br w:type="page"/>
      </w:r>
    </w:p>
    <w:p>
      <w:pPr>
        <w:pStyle w:val="Heading1"/>
        <w:keepNext/>
        <w:spacing w:before="280" w:after="120" w:line="276" w:lineRule="auto"/>
        <w:jc w:val="left"/>
      </w:pPr>
      <w:r>
        <w:rPr>
          <w:rFonts w:ascii="Times New Roman" w:hAnsi="Times New Roman"/>
          <w:b/>
          <w:color w:val="000000"/>
          <w:sz w:val="30"/>
        </w:rPr>
        <w:t>Table of Contents</w:t>
      </w:r>
    </w:p>
    <w:p>
      <w:pPr>
        <w:spacing w:line="276" w:lineRule="auto" w:before="20" w:after="20"/>
      </w:pPr>
      <w:r>
        <w:rPr>
          <w:rFonts w:ascii="Times New Roman" w:hAnsi="Times New Roman"/>
          <w:b/>
          <w:sz w:val="22"/>
        </w:rPr>
        <w:t>Certificate</w:t>
      </w:r>
      <w:r>
        <w:rPr>
          <w:rFonts w:ascii="Times New Roman" w:hAnsi="Times New Roman"/>
          <w:color w:val="787878"/>
          <w:sz w:val="20"/>
        </w:rPr>
        <w:t xml:space="preserve"> . . . . . . . . . . . . . . . . . . . . . . . . . . . . . . .  </w:t>
      </w:r>
      <w:r>
        <w:rPr>
          <w:rFonts w:ascii="Times New Roman" w:hAnsi="Times New Roman"/>
          <w:b/>
          <w:sz w:val="22"/>
        </w:rPr>
        <w:t>ii</w:t>
      </w:r>
    </w:p>
    <w:p>
      <w:pPr>
        <w:spacing w:line="276" w:lineRule="auto" w:before="20" w:after="20"/>
      </w:pPr>
      <w:r>
        <w:rPr>
          <w:rFonts w:ascii="Times New Roman" w:hAnsi="Times New Roman"/>
          <w:b/>
          <w:sz w:val="22"/>
        </w:rPr>
        <w:t>Declaration</w:t>
      </w:r>
      <w:r>
        <w:rPr>
          <w:rFonts w:ascii="Times New Roman" w:hAnsi="Times New Roman"/>
          <w:color w:val="787878"/>
          <w:sz w:val="20"/>
        </w:rPr>
        <w:t xml:space="preserve"> . . . . . . . . . . . . . . . . . . . . . . . . . . . . . . .  </w:t>
      </w:r>
      <w:r>
        <w:rPr>
          <w:rFonts w:ascii="Times New Roman" w:hAnsi="Times New Roman"/>
          <w:b/>
          <w:sz w:val="22"/>
        </w:rPr>
        <w:t>iii</w:t>
      </w:r>
    </w:p>
    <w:p>
      <w:pPr>
        <w:spacing w:line="276" w:lineRule="auto" w:before="20" w:after="20"/>
      </w:pPr>
      <w:r>
        <w:rPr>
          <w:rFonts w:ascii="Times New Roman" w:hAnsi="Times New Roman"/>
          <w:b/>
          <w:sz w:val="22"/>
        </w:rPr>
        <w:t>Acknowledgements</w:t>
      </w:r>
      <w:r>
        <w:rPr>
          <w:rFonts w:ascii="Times New Roman" w:hAnsi="Times New Roman"/>
          <w:color w:val="787878"/>
          <w:sz w:val="20"/>
        </w:rPr>
        <w:t xml:space="preserve"> . . . . . . . . . . . . . . . . . . . . . . . . . . . .  </w:t>
      </w:r>
      <w:r>
        <w:rPr>
          <w:rFonts w:ascii="Times New Roman" w:hAnsi="Times New Roman"/>
          <w:b/>
          <w:sz w:val="22"/>
        </w:rPr>
        <w:t>iv</w:t>
      </w:r>
    </w:p>
    <w:p>
      <w:pPr>
        <w:spacing w:line="276" w:lineRule="auto" w:before="20" w:after="20"/>
      </w:pPr>
      <w:r>
        <w:rPr>
          <w:rFonts w:ascii="Times New Roman" w:hAnsi="Times New Roman"/>
          <w:b/>
          <w:sz w:val="22"/>
        </w:rPr>
        <w:t>Abstract</w:t>
      </w:r>
      <w:r>
        <w:rPr>
          <w:rFonts w:ascii="Times New Roman" w:hAnsi="Times New Roman"/>
          <w:color w:val="787878"/>
          <w:sz w:val="20"/>
        </w:rPr>
        <w:t xml:space="preserve"> . . . . . . . . . . . . . . . . . . . . . . . . . . . . . . . . .  </w:t>
      </w:r>
      <w:r>
        <w:rPr>
          <w:rFonts w:ascii="Times New Roman" w:hAnsi="Times New Roman"/>
          <w:b/>
          <w:sz w:val="22"/>
        </w:rPr>
        <w:t>v</w:t>
      </w:r>
    </w:p>
    <w:p>
      <w:pPr>
        <w:spacing w:line="276" w:lineRule="auto" w:before="20" w:after="20"/>
      </w:pPr>
      <w:r>
        <w:rPr>
          <w:rFonts w:ascii="Times New Roman" w:hAnsi="Times New Roman"/>
          <w:b/>
          <w:sz w:val="22"/>
        </w:rPr>
        <w:t>List of Figures, Tables, and Abbreviations</w:t>
      </w:r>
      <w:r>
        <w:rPr>
          <w:rFonts w:ascii="Times New Roman" w:hAnsi="Times New Roman"/>
          <w:color w:val="787878"/>
          <w:sz w:val="20"/>
        </w:rPr>
        <w:t xml:space="preserve"> . . . . . . . . . . . . . .  </w:t>
      </w:r>
      <w:r>
        <w:rPr>
          <w:rFonts w:ascii="Times New Roman" w:hAnsi="Times New Roman"/>
          <w:sz w:val="22"/>
        </w:rPr>
        <w:t>vii</w:t>
      </w:r>
    </w:p>
    <w:p>
      <w:pPr>
        <w:spacing w:line="276" w:lineRule="auto" w:before="20" w:after="20"/>
      </w:pPr>
      <w:r>
        <w:rPr>
          <w:rFonts w:ascii="Times New Roman" w:hAnsi="Times New Roman"/>
          <w:b/>
          <w:sz w:val="22"/>
        </w:rPr>
        <w:t>Chapter 1 Introduction</w:t>
      </w:r>
      <w:r>
        <w:rPr>
          <w:rFonts w:ascii="Times New Roman" w:hAnsi="Times New Roman"/>
          <w:color w:val="787878"/>
          <w:sz w:val="20"/>
        </w:rPr>
        <w:t xml:space="preserve"> . . . . . . . . . . . . . . . . . . . . . . . . .  </w:t>
      </w:r>
      <w:r>
        <w:rPr>
          <w:rFonts w:ascii="Times New Roman" w:hAnsi="Times New Roman"/>
          <w:b/>
          <w:sz w:val="22"/>
        </w:rPr>
        <w:t>1</w:t>
      </w:r>
    </w:p>
    <w:p>
      <w:pPr>
        <w:spacing w:line="276" w:lineRule="auto" w:before="20" w:after="20"/>
      </w:pPr>
      <w:r>
        <w:rPr>
          <w:rFonts w:ascii="Times New Roman" w:hAnsi="Times New Roman"/>
          <w:sz w:val="22"/>
        </w:rPr>
        <w:t xml:space="preserve">    1.1 Background</w:t>
      </w:r>
      <w:r>
        <w:rPr>
          <w:rFonts w:ascii="Times New Roman" w:hAnsi="Times New Roman"/>
          <w:color w:val="787878"/>
          <w:sz w:val="20"/>
        </w:rPr>
        <w:t xml:space="preserve"> . . . . . . . . . . . . . . . . . . . . . . . . . . .  </w:t>
      </w:r>
      <w:r>
        <w:rPr>
          <w:rFonts w:ascii="Times New Roman" w:hAnsi="Times New Roman"/>
          <w:sz w:val="22"/>
        </w:rPr>
        <w:t>1</w:t>
      </w:r>
    </w:p>
    <w:p>
      <w:pPr>
        <w:spacing w:line="276" w:lineRule="auto" w:before="20" w:after="20"/>
      </w:pPr>
      <w:r>
        <w:rPr>
          <w:rFonts w:ascii="Times New Roman" w:hAnsi="Times New Roman"/>
          <w:sz w:val="22"/>
        </w:rPr>
        <w:t xml:space="preserve">    1.2 Motivation and Practical Relevance</w:t>
      </w:r>
      <w:r>
        <w:rPr>
          <w:rFonts w:ascii="Times New Roman" w:hAnsi="Times New Roman"/>
          <w:color w:val="787878"/>
          <w:sz w:val="20"/>
        </w:rPr>
        <w:t xml:space="preserve"> . . . . . . . . . . . . . .  </w:t>
      </w:r>
      <w:r>
        <w:rPr>
          <w:rFonts w:ascii="Times New Roman" w:hAnsi="Times New Roman"/>
          <w:sz w:val="22"/>
        </w:rPr>
        <w:t>2</w:t>
      </w:r>
    </w:p>
    <w:p>
      <w:pPr>
        <w:spacing w:line="276" w:lineRule="auto" w:before="20" w:after="20"/>
      </w:pPr>
      <w:r>
        <w:rPr>
          <w:rFonts w:ascii="Times New Roman" w:hAnsi="Times New Roman"/>
          <w:sz w:val="22"/>
        </w:rPr>
        <w:t xml:space="preserve">    1.3 Problem Statement</w:t>
      </w:r>
      <w:r>
        <w:rPr>
          <w:rFonts w:ascii="Times New Roman" w:hAnsi="Times New Roman"/>
          <w:color w:val="787878"/>
          <w:sz w:val="20"/>
        </w:rPr>
        <w:t xml:space="preserve"> . . . . . . . . . . . . . . . . . . . . . . .  </w:t>
      </w:r>
      <w:r>
        <w:rPr>
          <w:rFonts w:ascii="Times New Roman" w:hAnsi="Times New Roman"/>
          <w:sz w:val="22"/>
        </w:rPr>
        <w:t>2</w:t>
      </w:r>
    </w:p>
    <w:p>
      <w:pPr>
        <w:spacing w:line="276" w:lineRule="auto" w:before="20" w:after="20"/>
      </w:pPr>
      <w:r>
        <w:rPr>
          <w:rFonts w:ascii="Times New Roman" w:hAnsi="Times New Roman"/>
          <w:sz w:val="22"/>
        </w:rPr>
        <w:t xml:space="preserve">    1.4 Objectives</w:t>
      </w:r>
      <w:r>
        <w:rPr>
          <w:rFonts w:ascii="Times New Roman" w:hAnsi="Times New Roman"/>
          <w:color w:val="787878"/>
          <w:sz w:val="20"/>
        </w:rPr>
        <w:t xml:space="preserve"> . . . . . . . . . . . . . . . . . . . . . . . . . . .  </w:t>
      </w:r>
      <w:r>
        <w:rPr>
          <w:rFonts w:ascii="Times New Roman" w:hAnsi="Times New Roman"/>
          <w:sz w:val="22"/>
        </w:rPr>
        <w:t>3</w:t>
      </w:r>
    </w:p>
    <w:p>
      <w:pPr>
        <w:spacing w:line="276" w:lineRule="auto" w:before="20" w:after="20"/>
      </w:pPr>
      <w:r>
        <w:rPr>
          <w:rFonts w:ascii="Times New Roman" w:hAnsi="Times New Roman"/>
          <w:sz w:val="22"/>
        </w:rPr>
        <w:t xml:space="preserve">    1.5 Scope and Limitations</w:t>
      </w:r>
      <w:r>
        <w:rPr>
          <w:rFonts w:ascii="Times New Roman" w:hAnsi="Times New Roman"/>
          <w:color w:val="787878"/>
          <w:sz w:val="20"/>
        </w:rPr>
        <w:t xml:space="preserve"> . . . . . . . . . . . . . . . . . . . . .  </w:t>
      </w:r>
      <w:r>
        <w:rPr>
          <w:rFonts w:ascii="Times New Roman" w:hAnsi="Times New Roman"/>
          <w:sz w:val="22"/>
        </w:rPr>
        <w:t>3</w:t>
      </w:r>
    </w:p>
    <w:p>
      <w:pPr>
        <w:spacing w:line="276" w:lineRule="auto" w:before="20" w:after="20"/>
      </w:pPr>
      <w:r>
        <w:rPr>
          <w:rFonts w:ascii="Times New Roman" w:hAnsi="Times New Roman"/>
          <w:sz w:val="22"/>
        </w:rPr>
        <w:t xml:space="preserve">    1.6 Organization of the Report</w:t>
      </w:r>
      <w:r>
        <w:rPr>
          <w:rFonts w:ascii="Times New Roman" w:hAnsi="Times New Roman"/>
          <w:color w:val="787878"/>
          <w:sz w:val="20"/>
        </w:rPr>
        <w:t xml:space="preserve"> . . . . . . . . . . . . . . . . . .  </w:t>
      </w:r>
      <w:r>
        <w:rPr>
          <w:rFonts w:ascii="Times New Roman" w:hAnsi="Times New Roman"/>
          <w:sz w:val="22"/>
        </w:rPr>
        <w:t>4</w:t>
      </w:r>
    </w:p>
    <w:p>
      <w:pPr>
        <w:spacing w:line="276" w:lineRule="auto" w:before="20" w:after="20"/>
      </w:pPr>
      <w:r>
        <w:rPr>
          <w:rFonts w:ascii="Times New Roman" w:hAnsi="Times New Roman"/>
          <w:b/>
          <w:sz w:val="22"/>
        </w:rPr>
        <w:t>Chapter 2 Literature Review</w:t>
      </w:r>
      <w:r>
        <w:rPr>
          <w:rFonts w:ascii="Times New Roman" w:hAnsi="Times New Roman"/>
          <w:color w:val="787878"/>
          <w:sz w:val="20"/>
        </w:rPr>
        <w:t xml:space="preserve"> . . . . . . . . . . . . . . . . . . . . . .  </w:t>
      </w:r>
      <w:r>
        <w:rPr>
          <w:rFonts w:ascii="Times New Roman" w:hAnsi="Times New Roman"/>
          <w:b/>
          <w:sz w:val="22"/>
        </w:rPr>
        <w:t>5</w:t>
      </w:r>
    </w:p>
    <w:p>
      <w:pPr>
        <w:spacing w:line="276" w:lineRule="auto" w:before="20" w:after="20"/>
      </w:pPr>
      <w:r>
        <w:rPr>
          <w:rFonts w:ascii="Times New Roman" w:hAnsi="Times New Roman"/>
          <w:sz w:val="22"/>
        </w:rPr>
        <w:t xml:space="preserve">    2.1 Existing Approaches</w:t>
      </w:r>
      <w:r>
        <w:rPr>
          <w:rFonts w:ascii="Times New Roman" w:hAnsi="Times New Roman"/>
          <w:color w:val="787878"/>
          <w:sz w:val="20"/>
        </w:rPr>
        <w:t xml:space="preserve"> . . . . . . . . . . . . . . . . . . . . . .  </w:t>
      </w:r>
      <w:r>
        <w:rPr>
          <w:rFonts w:ascii="Times New Roman" w:hAnsi="Times New Roman"/>
          <w:sz w:val="22"/>
        </w:rPr>
        <w:t>5</w:t>
      </w:r>
    </w:p>
    <w:p>
      <w:pPr>
        <w:spacing w:line="276" w:lineRule="auto" w:before="20" w:after="20"/>
      </w:pPr>
      <w:r>
        <w:rPr>
          <w:rFonts w:ascii="Times New Roman" w:hAnsi="Times New Roman"/>
          <w:sz w:val="22"/>
        </w:rPr>
        <w:t xml:space="preserve">    2.2 Comparison of Related Work</w:t>
      </w:r>
      <w:r>
        <w:rPr>
          <w:rFonts w:ascii="Times New Roman" w:hAnsi="Times New Roman"/>
          <w:color w:val="787878"/>
          <w:sz w:val="20"/>
        </w:rPr>
        <w:t xml:space="preserve"> . . . . . . . . . . . . . . . . . .  </w:t>
      </w:r>
      <w:r>
        <w:rPr>
          <w:rFonts w:ascii="Times New Roman" w:hAnsi="Times New Roman"/>
          <w:sz w:val="22"/>
        </w:rPr>
        <w:t>6</w:t>
      </w:r>
    </w:p>
    <w:p>
      <w:pPr>
        <w:spacing w:line="276" w:lineRule="auto" w:before="20" w:after="20"/>
      </w:pPr>
      <w:r>
        <w:rPr>
          <w:rFonts w:ascii="Times New Roman" w:hAnsi="Times New Roman"/>
          <w:sz w:val="22"/>
        </w:rPr>
        <w:t xml:space="preserve">    2.3 Research Question and Project Contribution</w:t>
      </w:r>
      <w:r>
        <w:rPr>
          <w:rFonts w:ascii="Times New Roman" w:hAnsi="Times New Roman"/>
          <w:color w:val="787878"/>
          <w:sz w:val="20"/>
        </w:rPr>
        <w:t xml:space="preserve"> . . . . . . . . .  </w:t>
      </w:r>
      <w:r>
        <w:rPr>
          <w:rFonts w:ascii="Times New Roman" w:hAnsi="Times New Roman"/>
          <w:sz w:val="22"/>
        </w:rPr>
        <w:t>7</w:t>
      </w:r>
    </w:p>
    <w:p>
      <w:pPr>
        <w:spacing w:line="276" w:lineRule="auto" w:before="20" w:after="20"/>
      </w:pPr>
      <w:r>
        <w:rPr>
          <w:rFonts w:ascii="Times New Roman" w:hAnsi="Times New Roman"/>
          <w:sz w:val="22"/>
        </w:rPr>
        <w:t xml:space="preserve">    2.4 Choice of Baseline</w:t>
      </w:r>
      <w:r>
        <w:rPr>
          <w:rFonts w:ascii="Times New Roman" w:hAnsi="Times New Roman"/>
          <w:color w:val="787878"/>
          <w:sz w:val="20"/>
        </w:rPr>
        <w:t xml:space="preserve"> . . . . . . . . . . . . . . . . . . . . . . .  </w:t>
      </w:r>
      <w:r>
        <w:rPr>
          <w:rFonts w:ascii="Times New Roman" w:hAnsi="Times New Roman"/>
          <w:sz w:val="22"/>
        </w:rPr>
        <w:t>8</w:t>
      </w:r>
    </w:p>
    <w:p>
      <w:pPr>
        <w:spacing w:line="276" w:lineRule="auto" w:before="20" w:after="20"/>
      </w:pPr>
      <w:r>
        <w:rPr>
          <w:rFonts w:ascii="Times New Roman" w:hAnsi="Times New Roman"/>
          <w:b/>
          <w:sz w:val="22"/>
        </w:rPr>
        <w:t>Chapter 3 Methodology and System Design</w:t>
      </w:r>
      <w:r>
        <w:rPr>
          <w:rFonts w:ascii="Times New Roman" w:hAnsi="Times New Roman"/>
          <w:color w:val="787878"/>
          <w:sz w:val="20"/>
        </w:rPr>
        <w:t xml:space="preserve"> . . . . . . . . . . . . . . . .  </w:t>
      </w:r>
      <w:r>
        <w:rPr>
          <w:rFonts w:ascii="Times New Roman" w:hAnsi="Times New Roman"/>
          <w:b/>
          <w:sz w:val="22"/>
        </w:rPr>
        <w:t>9</w:t>
      </w:r>
    </w:p>
    <w:p>
      <w:pPr>
        <w:spacing w:line="276" w:lineRule="auto" w:before="20" w:after="20"/>
      </w:pPr>
      <w:r>
        <w:rPr>
          <w:rFonts w:ascii="Times New Roman" w:hAnsi="Times New Roman"/>
          <w:sz w:val="22"/>
        </w:rPr>
        <w:t xml:space="preserve">    3.1 Overall System Design</w:t>
      </w:r>
      <w:r>
        <w:rPr>
          <w:rFonts w:ascii="Times New Roman" w:hAnsi="Times New Roman"/>
          <w:color w:val="787878"/>
          <w:sz w:val="20"/>
        </w:rPr>
        <w:t xml:space="preserve"> . . . . . . . . . . . . . . . . . . . . .  </w:t>
      </w:r>
      <w:r>
        <w:rPr>
          <w:rFonts w:ascii="Times New Roman" w:hAnsi="Times New Roman"/>
          <w:sz w:val="22"/>
        </w:rPr>
        <w:t>9</w:t>
      </w:r>
    </w:p>
    <w:p>
      <w:pPr>
        <w:spacing w:line="276" w:lineRule="auto" w:before="20" w:after="20"/>
      </w:pPr>
      <w:r>
        <w:rPr>
          <w:rFonts w:ascii="Times New Roman" w:hAnsi="Times New Roman"/>
          <w:sz w:val="22"/>
        </w:rPr>
        <w:t xml:space="preserve">    3.2 Signal or Dataset Description</w:t>
      </w:r>
      <w:r>
        <w:rPr>
          <w:rFonts w:ascii="Times New Roman" w:hAnsi="Times New Roman"/>
          <w:color w:val="787878"/>
          <w:sz w:val="20"/>
        </w:rPr>
        <w:t xml:space="preserve"> . . . . . . . . . . . . . . . . .  </w:t>
      </w:r>
      <w:r>
        <w:rPr>
          <w:rFonts w:ascii="Times New Roman" w:hAnsi="Times New Roman"/>
          <w:sz w:val="22"/>
        </w:rPr>
        <w:t>11</w:t>
      </w:r>
    </w:p>
    <w:p>
      <w:pPr>
        <w:spacing w:line="276" w:lineRule="auto" w:before="20" w:after="20"/>
      </w:pPr>
      <w:r>
        <w:rPr>
          <w:rFonts w:ascii="Times New Roman" w:hAnsi="Times New Roman"/>
          <w:sz w:val="22"/>
        </w:rPr>
        <w:t xml:space="preserve">    3.3 Preprocessing Pipeline</w:t>
      </w:r>
      <w:r>
        <w:rPr>
          <w:rFonts w:ascii="Times New Roman" w:hAnsi="Times New Roman"/>
          <w:color w:val="787878"/>
          <w:sz w:val="20"/>
        </w:rPr>
        <w:t xml:space="preserve"> . . . . . . . . . . . . . . . . . . . . .  </w:t>
      </w:r>
      <w:r>
        <w:rPr>
          <w:rFonts w:ascii="Times New Roman" w:hAnsi="Times New Roman"/>
          <w:sz w:val="22"/>
        </w:rPr>
        <w:t>12</w:t>
      </w:r>
    </w:p>
    <w:p>
      <w:pPr>
        <w:spacing w:line="276" w:lineRule="auto" w:before="20" w:after="20"/>
      </w:pPr>
      <w:r>
        <w:rPr>
          <w:rFonts w:ascii="Times New Roman" w:hAnsi="Times New Roman"/>
          <w:sz w:val="22"/>
        </w:rPr>
        <w:t xml:space="preserve">    3.4 Signal Processing Techniques &amp; Mathematical Formulations</w:t>
      </w:r>
      <w:r>
        <w:rPr>
          <w:rFonts w:ascii="Times New Roman" w:hAnsi="Times New Roman"/>
          <w:color w:val="787878"/>
          <w:sz w:val="20"/>
        </w:rPr>
        <w:t xml:space="preserve"> . .  </w:t>
      </w:r>
      <w:r>
        <w:rPr>
          <w:rFonts w:ascii="Times New Roman" w:hAnsi="Times New Roman"/>
          <w:sz w:val="22"/>
        </w:rPr>
        <w:t>13</w:t>
      </w:r>
    </w:p>
    <w:p>
      <w:pPr>
        <w:spacing w:line="276" w:lineRule="auto" w:before="20" w:after="20"/>
      </w:pPr>
      <w:r>
        <w:rPr>
          <w:rFonts w:ascii="Times New Roman" w:hAnsi="Times New Roman"/>
          <w:sz w:val="22"/>
        </w:rPr>
        <w:t xml:space="preserve">    3.5 Evaluation Design and Performance Metrics</w:t>
      </w:r>
      <w:r>
        <w:rPr>
          <w:rFonts w:ascii="Times New Roman" w:hAnsi="Times New Roman"/>
          <w:color w:val="787878"/>
          <w:sz w:val="20"/>
        </w:rPr>
        <w:t xml:space="preserve"> . . . . . . . . . .  </w:t>
      </w:r>
      <w:r>
        <w:rPr>
          <w:rFonts w:ascii="Times New Roman" w:hAnsi="Times New Roman"/>
          <w:sz w:val="22"/>
        </w:rPr>
        <w:t>15</w:t>
      </w:r>
    </w:p>
    <w:p>
      <w:pPr>
        <w:spacing w:line="276" w:lineRule="auto" w:before="20" w:after="20"/>
      </w:pPr>
      <w:r>
        <w:rPr>
          <w:rFonts w:ascii="Times New Roman" w:hAnsi="Times New Roman"/>
          <w:b/>
          <w:sz w:val="22"/>
        </w:rPr>
        <w:t>Chapter 4 Implementation</w:t>
      </w:r>
      <w:r>
        <w:rPr>
          <w:rFonts w:ascii="Times New Roman" w:hAnsi="Times New Roman"/>
          <w:color w:val="787878"/>
          <w:sz w:val="20"/>
        </w:rPr>
        <w:t xml:space="preserve"> . . . . . . . . . . . . . . . . . . . . . . . .  </w:t>
      </w:r>
      <w:r>
        <w:rPr>
          <w:rFonts w:ascii="Times New Roman" w:hAnsi="Times New Roman"/>
          <w:b/>
          <w:sz w:val="22"/>
        </w:rPr>
        <w:t>16</w:t>
      </w:r>
    </w:p>
    <w:p>
      <w:pPr>
        <w:spacing w:line="276" w:lineRule="auto" w:before="20" w:after="20"/>
      </w:pPr>
      <w:r>
        <w:rPr>
          <w:rFonts w:ascii="Times New Roman" w:hAnsi="Times New Roman"/>
          <w:sz w:val="22"/>
        </w:rPr>
        <w:t xml:space="preserve">    4.1 Development Environment and Toolchain</w:t>
      </w:r>
      <w:r>
        <w:rPr>
          <w:rFonts w:ascii="Times New Roman" w:hAnsi="Times New Roman"/>
          <w:color w:val="787878"/>
          <w:sz w:val="20"/>
        </w:rPr>
        <w:t xml:space="preserve"> . . . . . . . . . . . .  </w:t>
      </w:r>
      <w:r>
        <w:rPr>
          <w:rFonts w:ascii="Times New Roman" w:hAnsi="Times New Roman"/>
          <w:sz w:val="22"/>
        </w:rPr>
        <w:t>16</w:t>
      </w:r>
    </w:p>
    <w:p>
      <w:pPr>
        <w:spacing w:line="276" w:lineRule="auto" w:before="20" w:after="20"/>
      </w:pPr>
      <w:r>
        <w:rPr>
          <w:rFonts w:ascii="Times New Roman" w:hAnsi="Times New Roman"/>
          <w:sz w:val="22"/>
        </w:rPr>
        <w:t xml:space="preserve">    4.2 Modular Software Architecture and Execution Sequence</w:t>
      </w:r>
      <w:r>
        <w:rPr>
          <w:rFonts w:ascii="Times New Roman" w:hAnsi="Times New Roman"/>
          <w:color w:val="787878"/>
          <w:sz w:val="20"/>
        </w:rPr>
        <w:t xml:space="preserve"> . . . .  </w:t>
      </w:r>
      <w:r>
        <w:rPr>
          <w:rFonts w:ascii="Times New Roman" w:hAnsi="Times New Roman"/>
          <w:sz w:val="22"/>
        </w:rPr>
        <w:t>17</w:t>
      </w:r>
    </w:p>
    <w:p>
      <w:pPr>
        <w:spacing w:line="276" w:lineRule="auto" w:before="20" w:after="20"/>
      </w:pPr>
      <w:r>
        <w:rPr>
          <w:rFonts w:ascii="Times New Roman" w:hAnsi="Times New Roman"/>
          <w:sz w:val="22"/>
        </w:rPr>
        <w:t xml:space="preserve">    4.3 Parameters and System Settings</w:t>
      </w:r>
      <w:r>
        <w:rPr>
          <w:rFonts w:ascii="Times New Roman" w:hAnsi="Times New Roman"/>
          <w:color w:val="787878"/>
          <w:sz w:val="20"/>
        </w:rPr>
        <w:t xml:space="preserve"> . . . . . . . . . . . . . . . .  </w:t>
      </w:r>
      <w:r>
        <w:rPr>
          <w:rFonts w:ascii="Times New Roman" w:hAnsi="Times New Roman"/>
          <w:sz w:val="22"/>
        </w:rPr>
        <w:t>18</w:t>
      </w:r>
    </w:p>
    <w:p>
      <w:pPr>
        <w:spacing w:line="276" w:lineRule="auto" w:before="20" w:after="20"/>
      </w:pPr>
      <w:r>
        <w:rPr>
          <w:rFonts w:ascii="Times New Roman" w:hAnsi="Times New Roman"/>
          <w:sz w:val="22"/>
        </w:rPr>
        <w:t xml:space="preserve">    4.4 Verification and Implementation Challenges</w:t>
      </w:r>
      <w:r>
        <w:rPr>
          <w:rFonts w:ascii="Times New Roman" w:hAnsi="Times New Roman"/>
          <w:color w:val="787878"/>
          <w:sz w:val="20"/>
        </w:rPr>
        <w:t xml:space="preserve"> . . . . . . . . .  </w:t>
      </w:r>
      <w:r>
        <w:rPr>
          <w:rFonts w:ascii="Times New Roman" w:hAnsi="Times New Roman"/>
          <w:sz w:val="22"/>
        </w:rPr>
        <w:t>19</w:t>
      </w:r>
    </w:p>
    <w:p>
      <w:pPr>
        <w:spacing w:line="276" w:lineRule="auto" w:before="20" w:after="20"/>
      </w:pPr>
      <w:r>
        <w:rPr>
          <w:rFonts w:ascii="Times New Roman" w:hAnsi="Times New Roman"/>
          <w:sz w:val="22"/>
        </w:rPr>
        <w:t xml:space="preserve">    4.5 Reproducing the Experiment</w:t>
      </w:r>
      <w:r>
        <w:rPr>
          <w:rFonts w:ascii="Times New Roman" w:hAnsi="Times New Roman"/>
          <w:color w:val="787878"/>
          <w:sz w:val="20"/>
        </w:rPr>
        <w:t xml:space="preserve"> . . . . . . . . . . . . . . . . . .  </w:t>
      </w:r>
      <w:r>
        <w:rPr>
          <w:rFonts w:ascii="Times New Roman" w:hAnsi="Times New Roman"/>
          <w:sz w:val="22"/>
        </w:rPr>
        <w:t>20</w:t>
      </w:r>
    </w:p>
    <w:p>
      <w:pPr>
        <w:spacing w:line="276" w:lineRule="auto" w:before="20" w:after="20"/>
      </w:pPr>
      <w:r>
        <w:rPr>
          <w:rFonts w:ascii="Times New Roman" w:hAnsi="Times New Roman"/>
          <w:b/>
          <w:sz w:val="22"/>
        </w:rPr>
        <w:t>Chapter 5 Results Analysis and Discussion</w:t>
      </w:r>
      <w:r>
        <w:rPr>
          <w:rFonts w:ascii="Times New Roman" w:hAnsi="Times New Roman"/>
          <w:color w:val="787878"/>
          <w:sz w:val="20"/>
        </w:rPr>
        <w:t xml:space="preserve"> . . . . . . . . . . . . . .  </w:t>
      </w:r>
      <w:r>
        <w:rPr>
          <w:rFonts w:ascii="Times New Roman" w:hAnsi="Times New Roman"/>
          <w:b/>
          <w:sz w:val="22"/>
        </w:rPr>
        <w:t>21</w:t>
      </w:r>
    </w:p>
    <w:p>
      <w:pPr>
        <w:spacing w:line="276" w:lineRule="auto" w:before="20" w:after="20"/>
      </w:pPr>
      <w:r>
        <w:rPr>
          <w:rFonts w:ascii="Times New Roman" w:hAnsi="Times New Roman"/>
          <w:sz w:val="22"/>
        </w:rPr>
        <w:t xml:space="preserve">    5.1 Experimental Conditions and Test Scenarios</w:t>
      </w:r>
      <w:r>
        <w:rPr>
          <w:rFonts w:ascii="Times New Roman" w:hAnsi="Times New Roman"/>
          <w:color w:val="787878"/>
          <w:sz w:val="20"/>
        </w:rPr>
        <w:t xml:space="preserve"> . . . . . . . . .  </w:t>
      </w:r>
      <w:r>
        <w:rPr>
          <w:rFonts w:ascii="Times New Roman" w:hAnsi="Times New Roman"/>
          <w:sz w:val="22"/>
        </w:rPr>
        <w:t>21</w:t>
      </w:r>
    </w:p>
    <w:p>
      <w:pPr>
        <w:spacing w:line="276" w:lineRule="auto" w:before="20" w:after="20"/>
      </w:pPr>
      <w:r>
        <w:rPr>
          <w:rFonts w:ascii="Times New Roman" w:hAnsi="Times New Roman"/>
          <w:sz w:val="22"/>
        </w:rPr>
        <w:t xml:space="preserve">    5.2 Signal Plots and Observed Outputs</w:t>
      </w:r>
      <w:r>
        <w:rPr>
          <w:rFonts w:ascii="Times New Roman" w:hAnsi="Times New Roman"/>
          <w:color w:val="787878"/>
          <w:sz w:val="20"/>
        </w:rPr>
        <w:t xml:space="preserve"> . . . . . . . . . . . . . .  </w:t>
      </w:r>
      <w:r>
        <w:rPr>
          <w:rFonts w:ascii="Times New Roman" w:hAnsi="Times New Roman"/>
          <w:sz w:val="22"/>
        </w:rPr>
        <w:t>22</w:t>
      </w:r>
    </w:p>
    <w:p>
      <w:pPr>
        <w:spacing w:line="276" w:lineRule="auto" w:before="20" w:after="20"/>
      </w:pPr>
      <w:r>
        <w:rPr>
          <w:rFonts w:ascii="Times New Roman" w:hAnsi="Times New Roman"/>
          <w:sz w:val="22"/>
        </w:rPr>
        <w:t xml:space="preserve">    5.3 Quantitative Performance and Accuracy Metrics</w:t>
      </w:r>
      <w:r>
        <w:rPr>
          <w:rFonts w:ascii="Times New Roman" w:hAnsi="Times New Roman"/>
          <w:color w:val="787878"/>
          <w:sz w:val="20"/>
        </w:rPr>
        <w:t xml:space="preserve"> . . . . . . . .  </w:t>
      </w:r>
      <w:r>
        <w:rPr>
          <w:rFonts w:ascii="Times New Roman" w:hAnsi="Times New Roman"/>
          <w:sz w:val="22"/>
        </w:rPr>
        <w:t>24</w:t>
      </w:r>
    </w:p>
    <w:p>
      <w:pPr>
        <w:spacing w:line="276" w:lineRule="auto" w:before="20" w:after="20"/>
      </w:pPr>
      <w:r>
        <w:rPr>
          <w:rFonts w:ascii="Times New Roman" w:hAnsi="Times New Roman"/>
          <w:sz w:val="22"/>
        </w:rPr>
        <w:t xml:space="preserve">    5.4 Comparison and System Robustness</w:t>
      </w:r>
      <w:r>
        <w:rPr>
          <w:rFonts w:ascii="Times New Roman" w:hAnsi="Times New Roman"/>
          <w:color w:val="787878"/>
          <w:sz w:val="20"/>
        </w:rPr>
        <w:t xml:space="preserve"> . . . . . . . . . . . . . . .  </w:t>
      </w:r>
      <w:r>
        <w:rPr>
          <w:rFonts w:ascii="Times New Roman" w:hAnsi="Times New Roman"/>
          <w:sz w:val="22"/>
        </w:rPr>
        <w:t>25</w:t>
      </w:r>
    </w:p>
    <w:p>
      <w:pPr>
        <w:spacing w:line="276" w:lineRule="auto" w:before="20" w:after="20"/>
      </w:pPr>
      <w:r>
        <w:rPr>
          <w:rFonts w:ascii="Times New Roman" w:hAnsi="Times New Roman"/>
          <w:sz w:val="22"/>
        </w:rPr>
        <w:t xml:space="preserve">    5.5 Technical Discussion and Limitations</w:t>
      </w:r>
      <w:r>
        <w:rPr>
          <w:rFonts w:ascii="Times New Roman" w:hAnsi="Times New Roman"/>
          <w:color w:val="787878"/>
          <w:sz w:val="20"/>
        </w:rPr>
        <w:t xml:space="preserve"> . . . . . . . . . . . . .  </w:t>
      </w:r>
      <w:r>
        <w:rPr>
          <w:rFonts w:ascii="Times New Roman" w:hAnsi="Times New Roman"/>
          <w:sz w:val="22"/>
        </w:rPr>
        <w:t>26</w:t>
      </w:r>
    </w:p>
    <w:p>
      <w:pPr>
        <w:spacing w:line="276" w:lineRule="auto" w:before="20" w:after="20"/>
      </w:pPr>
      <w:r>
        <w:rPr>
          <w:rFonts w:ascii="Times New Roman" w:hAnsi="Times New Roman"/>
          <w:b/>
          <w:sz w:val="22"/>
        </w:rPr>
        <w:t>Chapter 6 Conclusion and Future Scope</w:t>
      </w:r>
      <w:r>
        <w:rPr>
          <w:rFonts w:ascii="Times New Roman" w:hAnsi="Times New Roman"/>
          <w:color w:val="787878"/>
          <w:sz w:val="20"/>
        </w:rPr>
        <w:t xml:space="preserve"> . . . . . . . . . . . . . . . . .  </w:t>
      </w:r>
      <w:r>
        <w:rPr>
          <w:rFonts w:ascii="Times New Roman" w:hAnsi="Times New Roman"/>
          <w:b/>
          <w:sz w:val="22"/>
        </w:rPr>
        <w:t>27</w:t>
      </w:r>
    </w:p>
    <w:p>
      <w:pPr>
        <w:spacing w:line="276" w:lineRule="auto" w:before="20" w:after="20"/>
      </w:pPr>
      <w:r>
        <w:rPr>
          <w:rFonts w:ascii="Times New Roman" w:hAnsi="Times New Roman"/>
          <w:sz w:val="22"/>
        </w:rPr>
        <w:t xml:space="preserve">    6.1 Conclusion</w:t>
      </w:r>
      <w:r>
        <w:rPr>
          <w:rFonts w:ascii="Times New Roman" w:hAnsi="Times New Roman"/>
          <w:color w:val="787878"/>
          <w:sz w:val="20"/>
        </w:rPr>
        <w:t xml:space="preserve"> . . . . . . . . . . . . . . . . . . . . . . . . . . .  </w:t>
      </w:r>
      <w:r>
        <w:rPr>
          <w:rFonts w:ascii="Times New Roman" w:hAnsi="Times New Roman"/>
          <w:sz w:val="22"/>
        </w:rPr>
        <w:t>27</w:t>
      </w:r>
    </w:p>
    <w:p>
      <w:pPr>
        <w:spacing w:line="276" w:lineRule="auto" w:before="20" w:after="20"/>
      </w:pPr>
      <w:r>
        <w:rPr>
          <w:rFonts w:ascii="Times New Roman" w:hAnsi="Times New Roman"/>
          <w:sz w:val="22"/>
        </w:rPr>
        <w:t xml:space="preserve">    6.2 Future Scope</w:t>
      </w:r>
      <w:r>
        <w:rPr>
          <w:rFonts w:ascii="Times New Roman" w:hAnsi="Times New Roman"/>
          <w:color w:val="787878"/>
          <w:sz w:val="20"/>
        </w:rPr>
        <w:t xml:space="preserve"> . . . . . . . . . . . . . . . . . . . . . . . . . .  </w:t>
      </w:r>
      <w:r>
        <w:rPr>
          <w:rFonts w:ascii="Times New Roman" w:hAnsi="Times New Roman"/>
          <w:sz w:val="22"/>
        </w:rPr>
        <w:t>28</w:t>
      </w:r>
    </w:p>
    <w:p>
      <w:pPr>
        <w:spacing w:line="276" w:lineRule="auto" w:before="20" w:after="20"/>
      </w:pPr>
      <w:r>
        <w:rPr>
          <w:rFonts w:ascii="Times New Roman" w:hAnsi="Times New Roman"/>
          <w:b/>
          <w:sz w:val="22"/>
        </w:rPr>
        <w:t>References</w:t>
      </w:r>
      <w:r>
        <w:rPr>
          <w:rFonts w:ascii="Times New Roman" w:hAnsi="Times New Roman"/>
          <w:color w:val="787878"/>
          <w:sz w:val="20"/>
        </w:rPr>
        <w:t xml:space="preserve"> . . . . . . . . . . . . . . . . . . . . . . . . . . . . . . . .  </w:t>
      </w:r>
      <w:r>
        <w:rPr>
          <w:rFonts w:ascii="Times New Roman" w:hAnsi="Times New Roman"/>
          <w:b/>
          <w:sz w:val="22"/>
        </w:rPr>
        <w:t>29</w:t>
      </w:r>
    </w:p>
    <w:p>
      <w:pPr>
        <w:spacing w:line="276" w:lineRule="auto" w:before="20" w:after="20"/>
      </w:pPr>
      <w:r>
        <w:rPr>
          <w:rFonts w:ascii="Times New Roman" w:hAnsi="Times New Roman"/>
          <w:sz w:val="22"/>
        </w:rPr>
        <w:t>Appendix A Reproducibility and Supporting Material</w:t>
      </w:r>
      <w:r>
        <w:rPr>
          <w:rFonts w:ascii="Times New Roman" w:hAnsi="Times New Roman"/>
          <w:color w:val="787878"/>
          <w:sz w:val="20"/>
        </w:rPr>
        <w:t xml:space="preserve"> . . . . . . . . .  </w:t>
      </w:r>
      <w:r>
        <w:rPr>
          <w:rFonts w:ascii="Times New Roman" w:hAnsi="Times New Roman"/>
          <w:sz w:val="22"/>
        </w:rPr>
        <w:t>31</w:t>
      </w:r>
    </w:p>
    <w:p>
      <w:pPr>
        <w:spacing w:line="276" w:lineRule="auto" w:before="20" w:after="20"/>
      </w:pPr>
      <w:r>
        <w:rPr>
          <w:rFonts w:ascii="Times New Roman" w:hAnsi="Times New Roman"/>
          <w:sz w:val="22"/>
        </w:rPr>
        <w:t xml:space="preserve">    A.1 Submitted Project Files and Deliverables</w:t>
      </w:r>
      <w:r>
        <w:rPr>
          <w:rFonts w:ascii="Times New Roman" w:hAnsi="Times New Roman"/>
          <w:color w:val="787878"/>
          <w:sz w:val="20"/>
        </w:rPr>
        <w:t xml:space="preserve"> . . . . . . . . . . .  </w:t>
      </w:r>
      <w:r>
        <w:rPr>
          <w:rFonts w:ascii="Times New Roman" w:hAnsi="Times New Roman"/>
          <w:sz w:val="22"/>
        </w:rPr>
        <w:t>31</w:t>
      </w:r>
    </w:p>
    <w:p>
      <w:pPr>
        <w:spacing w:line="276" w:lineRule="auto" w:before="20" w:after="20"/>
      </w:pPr>
      <w:r>
        <w:rPr>
          <w:rFonts w:ascii="Times New Roman" w:hAnsi="Times New Roman"/>
          <w:sz w:val="22"/>
        </w:rPr>
        <w:t xml:space="preserve">    A.2 Core Implementation Code Excerpts</w:t>
      </w:r>
      <w:r>
        <w:rPr>
          <w:rFonts w:ascii="Times New Roman" w:hAnsi="Times New Roman"/>
          <w:color w:val="787878"/>
          <w:sz w:val="20"/>
        </w:rPr>
        <w:t xml:space="preserve"> . . . . . . . . . . . . . .  </w:t>
      </w:r>
      <w:r>
        <w:rPr>
          <w:rFonts w:ascii="Times New Roman" w:hAnsi="Times New Roman"/>
          <w:sz w:val="22"/>
        </w:rPr>
        <w:t>32</w:t>
      </w:r>
    </w:p>
    <w:p>
      <w:pPr>
        <w:spacing w:line="276" w:lineRule="auto" w:before="20" w:after="20"/>
      </w:pPr>
      <w:r>
        <w:rPr>
          <w:rFonts w:ascii="Times New Roman" w:hAnsi="Times New Roman"/>
          <w:sz w:val="22"/>
        </w:rPr>
        <w:t>Appendix B Team Contributions and Review Progress</w:t>
      </w:r>
      <w:r>
        <w:rPr>
          <w:rFonts w:ascii="Times New Roman" w:hAnsi="Times New Roman"/>
          <w:color w:val="787878"/>
          <w:sz w:val="20"/>
        </w:rPr>
        <w:t xml:space="preserve"> . . . . . . . . . .  </w:t>
      </w:r>
      <w:r>
        <w:rPr>
          <w:rFonts w:ascii="Times New Roman" w:hAnsi="Times New Roman"/>
          <w:sz w:val="22"/>
        </w:rPr>
        <w:t>33</w:t>
      </w:r>
    </w:p>
    <w:p>
      <w:pPr>
        <w:spacing w:line="276" w:lineRule="auto" w:before="20" w:after="20"/>
      </w:pPr>
      <w:r>
        <w:rPr>
          <w:rFonts w:ascii="Times New Roman" w:hAnsi="Times New Roman"/>
          <w:sz w:val="22"/>
        </w:rPr>
        <w:t xml:space="preserve">    B.1 Individual Contributions</w:t>
      </w:r>
      <w:r>
        <w:rPr>
          <w:rFonts w:ascii="Times New Roman" w:hAnsi="Times New Roman"/>
          <w:color w:val="787878"/>
          <w:sz w:val="20"/>
        </w:rPr>
        <w:t xml:space="preserve"> . . . . . . . . . . . . . . . . . . .  </w:t>
      </w:r>
      <w:r>
        <w:rPr>
          <w:rFonts w:ascii="Times New Roman" w:hAnsi="Times New Roman"/>
          <w:sz w:val="22"/>
        </w:rPr>
        <w:t>33</w:t>
      </w:r>
    </w:p>
    <w:p>
      <w:pPr>
        <w:spacing w:line="276" w:lineRule="auto" w:before="20" w:after="20"/>
      </w:pPr>
      <w:r>
        <w:rPr>
          <w:rFonts w:ascii="Times New Roman" w:hAnsi="Times New Roman"/>
          <w:sz w:val="22"/>
        </w:rPr>
        <w:t xml:space="preserve">    B.2 Review Feedback and Actions Taken</w:t>
      </w:r>
      <w:r>
        <w:rPr>
          <w:rFonts w:ascii="Times New Roman" w:hAnsi="Times New Roman"/>
          <w:color w:val="787878"/>
          <w:sz w:val="20"/>
        </w:rPr>
        <w:t xml:space="preserve"> . . . . . . . . . . . . . .  </w:t>
      </w:r>
      <w:r>
        <w:rPr>
          <w:rFonts w:ascii="Times New Roman" w:hAnsi="Times New Roman"/>
          <w:sz w:val="22"/>
        </w:rPr>
        <w:t>34</w:t>
      </w:r>
    </w:p>
    <w:p>
      <w:r>
        <w:br w:type="page"/>
      </w:r>
    </w:p>
    <w:p>
      <w:pPr>
        <w:pStyle w:val="Heading1"/>
        <w:keepNext/>
        <w:spacing w:before="280" w:after="120" w:line="276" w:lineRule="auto"/>
        <w:jc w:val="left"/>
      </w:pPr>
      <w:r>
        <w:rPr>
          <w:rFonts w:ascii="Times New Roman" w:hAnsi="Times New Roman"/>
          <w:b/>
          <w:color w:val="000000"/>
          <w:sz w:val="30"/>
        </w:rPr>
        <w:t>List of Figures, Tables, and Abbreviations</w:t>
      </w:r>
    </w:p>
    <w:p>
      <w:pPr>
        <w:pStyle w:val="Heading2"/>
        <w:keepNext/>
        <w:spacing w:before="200" w:after="80" w:line="276" w:lineRule="auto"/>
        <w:jc w:val="left"/>
      </w:pPr>
      <w:r>
        <w:rPr>
          <w:rFonts w:ascii="Times New Roman" w:hAnsi="Times New Roman"/>
          <w:b/>
          <w:color w:val="000000"/>
          <w:sz w:val="26"/>
        </w:rPr>
        <w:t>List of Figures</w:t>
      </w:r>
    </w:p>
    <w:tbl>
      <w:tblPr>
        <w:tblStyle w:val="TableGrid"/>
        <w:tblW w:type="auto" w:w="0"/>
        <w:jc w:val="center"/>
        <w:tblLook w:firstColumn="1" w:firstRow="1" w:lastColumn="0" w:lastRow="0" w:noHBand="0" w:noVBand="1" w:val="04A0"/>
      </w:tblPr>
      <w:tblGrid>
        <w:gridCol w:w="3144"/>
        <w:gridCol w:w="3144"/>
        <w:gridCol w:w="3144"/>
      </w:tblGrid>
      <w:tr>
        <w:trPr>
          <w:tblHeader/>
        </w:trPr>
        <w:tc>
          <w:tcPr>
            <w:tcW w:type="dxa" w:w="1728"/>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Figure</w:t>
            </w:r>
          </w:p>
        </w:tc>
        <w:tc>
          <w:tcPr>
            <w:tcW w:type="dxa" w:w="6624"/>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Caption</w:t>
            </w:r>
          </w:p>
        </w:tc>
        <w:tc>
          <w:tcPr>
            <w:tcW w:type="dxa" w:w="1152"/>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Page</w:t>
            </w:r>
          </w:p>
        </w:tc>
      </w:tr>
      <w:tr>
        <w:tc>
          <w:tcPr>
            <w:tcW w:type="dxa" w:w="1728"/>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Figure 3.1</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System Block Diagram: Dual-Mode Event-Selective Architecture &amp; 5-State FSM</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10</w:t>
            </w:r>
          </w:p>
        </w:tc>
      </w:tr>
      <w:tr>
        <w:tc>
          <w:tcPr>
            <w:tcW w:type="dxa" w:w="1728"/>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Figure 3.2</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Dual-Mode Power Scheduling and Pre/Post-Event Buffer Windows</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11</w:t>
            </w:r>
          </w:p>
        </w:tc>
      </w:tr>
      <w:tr>
        <w:tc>
          <w:tcPr>
            <w:tcW w:type="dxa" w:w="1728"/>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Figure 4.1</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Asynchronous Level-Crossing Sampling vs. Uniform Periodic Nyquist Sampling</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19</w:t>
            </w:r>
          </w:p>
        </w:tc>
      </w:tr>
      <w:tr>
        <w:tc>
          <w:tcPr>
            <w:tcW w:type="dxa" w:w="1728"/>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Figure 5.1</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Sensor Signal Acquisition, Adaptive Baseline Tracking, and Multi-Feature Event Score</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22</w:t>
            </w:r>
          </w:p>
        </w:tc>
      </w:tr>
      <w:tr>
        <w:tc>
          <w:tcPr>
            <w:tcW w:type="dxa" w:w="1728"/>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Figure 5.2</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FFT Magnitude Spectrum (0–4 kHz) and Sub-Band Spectral Energy Partitioning</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23</w:t>
            </w:r>
          </w:p>
        </w:tc>
      </w:tr>
      <w:tr>
        <w:tc>
          <w:tcPr>
            <w:tcW w:type="dxa" w:w="1728"/>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Figure 5.3</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Memory Footprint and Average Power Dissipation Comparison vs. Event Duty Cycle</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25</w:t>
            </w:r>
          </w:p>
        </w:tc>
      </w:tr>
      <w:tr>
        <w:tc>
          <w:tcPr>
            <w:tcW w:type="dxa" w:w="1728"/>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Figure 5.4</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Asynchronous Level-Crossing Signal Reconstruction vs. Original Continuous Waveform</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26</w:t>
            </w:r>
          </w:p>
        </w:tc>
      </w:tr>
      <w:tr>
        <w:tc>
          <w:tcPr>
            <w:tcW w:type="dxa" w:w="1728"/>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Figure 5.5</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Multi-Modal Event Confusion Matrix and Trigger Detection Latency Distribution</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27</w:t>
            </w:r>
          </w:p>
        </w:tc>
      </w:tr>
      <w:tr>
        <w:tc>
          <w:tcPr>
            <w:tcW w:type="dxa" w:w="1728"/>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Figure A.1</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Full-Stack Deployment Topology: Hardware Edge, FastAPI Backend, and React Frontend</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31</w:t>
            </w:r>
          </w:p>
        </w:tc>
      </w:tr>
    </w:tbl>
    <w:p>
      <w:pPr>
        <w:spacing w:before="0" w:after="120"/>
      </w:pPr>
    </w:p>
    <w:p>
      <w:pPr>
        <w:pStyle w:val="Heading2"/>
        <w:keepNext/>
        <w:spacing w:before="200" w:after="80" w:line="276" w:lineRule="auto"/>
        <w:jc w:val="left"/>
      </w:pPr>
      <w:r>
        <w:rPr>
          <w:rFonts w:ascii="Times New Roman" w:hAnsi="Times New Roman"/>
          <w:b/>
          <w:color w:val="000000"/>
          <w:sz w:val="26"/>
        </w:rPr>
        <w:t>List of Tables</w:t>
      </w:r>
    </w:p>
    <w:tbl>
      <w:tblPr>
        <w:tblStyle w:val="TableGrid"/>
        <w:tblW w:type="auto" w:w="0"/>
        <w:jc w:val="center"/>
        <w:tblLook w:firstColumn="1" w:firstRow="1" w:lastColumn="0" w:lastRow="0" w:noHBand="0" w:noVBand="1" w:val="04A0"/>
      </w:tblPr>
      <w:tblGrid>
        <w:gridCol w:w="3144"/>
        <w:gridCol w:w="3144"/>
        <w:gridCol w:w="3144"/>
      </w:tblGrid>
      <w:tr>
        <w:trPr>
          <w:tblHeader/>
        </w:trPr>
        <w:tc>
          <w:tcPr>
            <w:tcW w:type="dxa" w:w="1728"/>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Table</w:t>
            </w:r>
          </w:p>
        </w:tc>
        <w:tc>
          <w:tcPr>
            <w:tcW w:type="dxa" w:w="6624"/>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Title</w:t>
            </w:r>
          </w:p>
        </w:tc>
        <w:tc>
          <w:tcPr>
            <w:tcW w:type="dxa" w:w="1152"/>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Page</w:t>
            </w:r>
          </w:p>
        </w:tc>
      </w:tr>
      <w:tr>
        <w:tc>
          <w:tcPr>
            <w:tcW w:type="dxa" w:w="1728"/>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Table 2.1</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Comparative Analysis of Related Signal Sensing and Event Detection Architectures</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6</w:t>
            </w:r>
          </w:p>
        </w:tc>
      </w:tr>
      <w:tr>
        <w:tc>
          <w:tcPr>
            <w:tcW w:type="dxa" w:w="1728"/>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Table 3.1</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Mathematical Formulation and Computational Complexity of Extracted Features</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14</w:t>
            </w:r>
          </w:p>
        </w:tc>
      </w:tr>
      <w:tr>
        <w:tc>
          <w:tcPr>
            <w:tcW w:type="dxa" w:w="1728"/>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Table 4.1</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Development Environment, Framework Versions, and System Roles</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16</w:t>
            </w:r>
          </w:p>
        </w:tc>
      </w:tr>
      <w:tr>
        <w:tc>
          <w:tcPr>
            <w:tcW w:type="dxa" w:w="1728"/>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Table 4.2</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Modular Software Modules, Architectural Responsibilities, and Data Flow</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17</w:t>
            </w:r>
          </w:p>
        </w:tc>
      </w:tr>
      <w:tr>
        <w:tc>
          <w:tcPr>
            <w:tcW w:type="dxa" w:w="1728"/>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Table 4.3</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Calibrated System Parameters, Operational Values, and Engineering Rationale</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18</w:t>
            </w:r>
          </w:p>
        </w:tc>
      </w:tr>
      <w:tr>
        <w:tc>
          <w:tcPr>
            <w:tcW w:type="dxa" w:w="1728"/>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Table 5.1</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Performance Metrics: Conventional Nyquist Baseline vs. Proposed Event-Selective System</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24</w:t>
            </w:r>
          </w:p>
        </w:tc>
      </w:tr>
      <w:tr>
        <w:tc>
          <w:tcPr>
            <w:tcW w:type="dxa" w:w="1728"/>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Table 5.2</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Confusion Matrix and Multi-Modal Detection Accuracy Breakdown (1,000 Test Trials)</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24</w:t>
            </w:r>
          </w:p>
        </w:tc>
      </w:tr>
      <w:tr>
        <w:tc>
          <w:tcPr>
            <w:tcW w:type="dxa" w:w="1728"/>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Table 5.3</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Storage Footprint and Power Dissipation Scaling across Varying Event Duty Cycles</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25</w:t>
            </w:r>
          </w:p>
        </w:tc>
      </w:tr>
      <w:tr>
        <w:tc>
          <w:tcPr>
            <w:tcW w:type="dxa" w:w="1728"/>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Table A.1</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Submitted Project Package Deliverables and Verifiable Artifacts</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31</w:t>
            </w:r>
          </w:p>
        </w:tc>
      </w:tr>
      <w:tr>
        <w:tc>
          <w:tcPr>
            <w:tcW w:type="dxa" w:w="1728"/>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Table B.1</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Individual Team Member Task Allocations, Responsibilities, and Deliverables</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33</w:t>
            </w:r>
          </w:p>
        </w:tc>
      </w:tr>
      <w:tr>
        <w:tc>
          <w:tcPr>
            <w:tcW w:type="dxa" w:w="1728"/>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Table B.2</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Project Review Milestones, Faculty Reviewer Feedback, and Corrective Actions</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34</w:t>
            </w:r>
          </w:p>
        </w:tc>
      </w:tr>
    </w:tbl>
    <w:p>
      <w:pPr>
        <w:spacing w:before="0" w:after="120"/>
      </w:pPr>
    </w:p>
    <w:p>
      <w:pPr>
        <w:pStyle w:val="Heading2"/>
        <w:keepNext/>
        <w:spacing w:before="200" w:after="80" w:line="276" w:lineRule="auto"/>
        <w:jc w:val="left"/>
      </w:pPr>
      <w:r>
        <w:rPr>
          <w:rFonts w:ascii="Times New Roman" w:hAnsi="Times New Roman"/>
          <w:b/>
          <w:color w:val="000000"/>
          <w:sz w:val="26"/>
        </w:rPr>
        <w:t>Abbreviations and Symbols</w:t>
      </w:r>
    </w:p>
    <w:tbl>
      <w:tblPr>
        <w:tblStyle w:val="TableGrid"/>
        <w:tblW w:type="auto" w:w="0"/>
        <w:jc w:val="center"/>
        <w:tblLook w:firstColumn="1" w:firstRow="1" w:lastColumn="0" w:lastRow="0" w:noHBand="0" w:noVBand="1" w:val="04A0"/>
      </w:tblPr>
      <w:tblGrid>
        <w:gridCol w:w="4716"/>
        <w:gridCol w:w="4716"/>
      </w:tblGrid>
      <w:tr>
        <w:trPr>
          <w:tblHeader/>
        </w:trPr>
        <w:tc>
          <w:tcPr>
            <w:tcW w:type="dxa" w:w="2880"/>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Abbreviation or Symbol</w:t>
            </w:r>
          </w:p>
        </w:tc>
        <w:tc>
          <w:tcPr>
            <w:tcW w:type="dxa" w:w="6624"/>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Meaning and Physical Unit where Applicable</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ADC</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Analog-to-Digital Converter</w:t>
            </w:r>
          </w:p>
        </w:tc>
      </w:tr>
      <w:tr>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BLE</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Bluetooth Low Energy</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CS</w:t>
            </w:r>
          </w:p>
        </w:tc>
        <w:tc>
          <w:tcPr>
            <w:tcW w:type="dxa" w:w="6624"/>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Compressed Sensing</w:t>
            </w:r>
          </w:p>
        </w:tc>
      </w:tr>
      <w:tr>
        <w:tc>
          <w:tcPr>
            <w:tcW w:type="dxa" w:w="288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DFT / FFT</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Discrete Fourier Transform / Fast Fourier Transform</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DVS</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Dynamic Vision Sensor (Neuromorphic Event-Based Camera)</w:t>
            </w:r>
          </w:p>
        </w:tc>
      </w:tr>
      <w:tr>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FSM</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Finite State Machine (5-State Control Engine)</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F1-Score</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Harmonic Mean of Precision and Recall (Dimensionless, %)</w:t>
            </w:r>
          </w:p>
        </w:tc>
      </w:tr>
      <w:tr>
        <w:tc>
          <w:tcPr>
            <w:tcW w:type="dxa" w:w="288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IIR / FIR</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Infinite Impulse Response / Finite Impulse Response</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IoT</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Internet of Things</w:t>
            </w:r>
          </w:p>
        </w:tc>
      </w:tr>
      <w:tr>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MCU</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Microcontroller Unit (e.g., ESP32 32-bit Xtensa LX6)</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MSE</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Mean Squared Error (Volts squared, V²)</w:t>
            </w:r>
          </w:p>
        </w:tc>
      </w:tr>
      <w:tr>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Nyquist Rate</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Minimum Uniform Sampling Frequency (2 · f_max, Hz)</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PIR</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Passive Infrared Sensor</w:t>
            </w:r>
          </w:p>
        </w:tc>
      </w:tr>
      <w:tr>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PSD</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Power Spectral Density (dB/Hz or V²/Hz)</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RMS</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Root-Mean-Square Amplitude (Volts, V)</w:t>
            </w:r>
          </w:p>
        </w:tc>
      </w:tr>
      <w:tr>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SNR</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Signal-to-Noise Ratio (Decibels, dB)</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SRAM</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Static Random-Access Memory (Bytes / Kilobytes)</w:t>
            </w:r>
          </w:p>
        </w:tc>
      </w:tr>
      <w:tr>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STE</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Short-Term Energy (Sum of Squared Amplitudes, V²)</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STFT</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Short-Time Fourier Transform (Time-Frequency Representation)</w:t>
            </w:r>
          </w:p>
        </w:tc>
      </w:tr>
      <w:tr>
        <w:tc>
          <w:tcPr>
            <w:tcW w:type="dxa" w:w="288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TP, TN, FP, FN</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True Positive, True Negative, False Positive, False Negative counts</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VAD</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Voice Activity Detection</w:t>
            </w:r>
          </w:p>
        </w:tc>
      </w:tr>
      <w:tr>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WSS</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Secure WebSocket Protocol (Bidirectional Real-Time Transport)</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E_n</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Discrete Short-Term Energy at sample index n (V²)</w:t>
            </w:r>
          </w:p>
        </w:tc>
      </w:tr>
      <w:tr>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x_rms</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Root-Mean-Square value over sliding window of N samples (V)</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S_max</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Discrete Maximum Absolute Slope / Gradient (Volts per second, V/s)</w:t>
            </w:r>
          </w:p>
        </w:tc>
      </w:tr>
      <w:tr>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w_i</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Feature Weighting Coefficient for feature i in multi-modal fusion</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T_th</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Primary Event Detection Trigger Threshold (Dimensionless)</w:t>
            </w:r>
          </w:p>
        </w:tc>
      </w:tr>
      <w:tr>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delta_hyst</w:t>
            </w:r>
          </w:p>
        </w:tc>
        <w:tc>
          <w:tcPr>
            <w:tcW w:type="dxa" w:w="66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Hysteresis Release Scaling Factor (Nominally set to 0.70 · T_th)</w:t>
            </w:r>
          </w:p>
        </w:tc>
      </w:tr>
      <w:tr>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P_sleep, P_active</w:t>
            </w:r>
          </w:p>
        </w:tc>
        <w:tc>
          <w:tcPr>
            <w:tcW w:type="dxa" w:w="66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Power dissipation in standby (5 mW) and burst recording (150 mW)</w:t>
            </w:r>
          </w:p>
        </w:tc>
      </w:tr>
    </w:tbl>
    <w:p>
      <w:pPr>
        <w:spacing w:before="0" w:after="120"/>
      </w:pPr>
    </w:p>
    <w:p>
      <w:r>
        <w:br w:type="page"/>
      </w:r>
    </w:p>
    <w:p>
      <w:pPr>
        <w:pStyle w:val="Heading1"/>
        <w:keepNext/>
        <w:spacing w:before="280" w:after="120" w:line="276" w:lineRule="auto"/>
        <w:jc w:val="left"/>
      </w:pPr>
      <w:r>
        <w:rPr>
          <w:rFonts w:ascii="Times New Roman" w:hAnsi="Times New Roman"/>
          <w:b/>
          <w:color w:val="000000"/>
          <w:sz w:val="30"/>
        </w:rPr>
        <w:t>Chapter 1 Introduction</w:t>
      </w:r>
    </w:p>
    <w:p>
      <w:pPr>
        <w:pStyle w:val="Heading2"/>
        <w:keepNext/>
        <w:spacing w:before="200" w:after="80" w:line="276" w:lineRule="auto"/>
        <w:jc w:val="left"/>
      </w:pPr>
      <w:r>
        <w:rPr>
          <w:rFonts w:ascii="Times New Roman" w:hAnsi="Times New Roman"/>
          <w:b/>
          <w:color w:val="000000"/>
          <w:sz w:val="26"/>
        </w:rPr>
        <w:t>1.1 Background</w:t>
      </w:r>
    </w:p>
    <w:p>
      <w:pPr>
        <w:spacing w:line="276" w:lineRule="auto" w:after="120" w:before="0"/>
        <w:jc w:val="both"/>
      </w:pPr>
      <w:r>
        <w:rPr>
          <w:rFonts w:ascii="Times New Roman" w:hAnsi="Times New Roman"/>
          <w:color w:val="000000"/>
          <w:sz w:val="24"/>
        </w:rPr>
        <w:t>Digital signal processing forms the foundational backbone of modern data acquisition, instrumentation, and cyber-physical systems. The ubiquitous proliferation of edge computing devices in the Internet of Things (IoT) has led to widespread deployment of intelligent sensor nodes across structural health monitoring, acoustic surveillance, industrial machine vibration diagnostics, smart agriculture, and wearable biomedical telemetry. In traditional instrumentation architectures, the process of continuous physical sensing is governed by the classical Nyquist-Shannon sampling theorem, which dictates that an analog bandlimited signal x(t) with highest spectral frequency component f_max must be uniformly sampled at a discrete temporal rate f_s &gt;= 2 f_max to ensure perfect reconstruction without spectral aliasing. Consequently, conventional edge acquisition platforms continuously sample the continuous physical medium, quantize analog voltages through high-resolution analog-to-digital converters (ADCs), and buffer or stream the resulting raw time-series data at fixed, uninterrupted rates.</w:t>
      </w:r>
    </w:p>
    <w:p>
      <w:pPr>
        <w:spacing w:line="276" w:lineRule="auto" w:after="120" w:before="0"/>
        <w:jc w:val="both"/>
      </w:pPr>
      <w:r>
        <w:rPr>
          <w:rFonts w:ascii="Times New Roman" w:hAnsi="Times New Roman"/>
          <w:color w:val="000000"/>
          <w:sz w:val="24"/>
        </w:rPr>
        <w:t>While mathematically elegant and straightforward to implement in dedicated hardware, continuous uniform sampling operates under the implicit assumption that the information density of the observed physical phenomenon is temporally uniform. In reality, a vast majority of physical processes exhibit extreme temporal sparsity. In structural vibration monitoring, for instance, a bridge or mechanical bearing operates in a benign, repetitive stationary baseline state for days or weeks, interrupted only by brief, transient mechanical shocks, seismic tremors, or micro-crack propagations that span a few seconds. Similarly, in remote acoustic wildlife monitoring or security surveillance, hours of ambient background rustling or silence are interspersed with fleeting acoustic events such as gunshot impulses, glass breaks, animal vocalizations, or human speech bursts. In these operational regimes, meaningful “events” often account for less than 1% to 5% of the total operating lifetime of the sensor.</w:t>
      </w:r>
    </w:p>
    <w:p>
      <w:pPr>
        <w:spacing w:line="276" w:lineRule="auto" w:after="120" w:before="0"/>
        <w:jc w:val="both"/>
      </w:pPr>
      <w:r>
        <w:rPr>
          <w:rFonts w:ascii="Times New Roman" w:hAnsi="Times New Roman"/>
          <w:color w:val="000000"/>
          <w:sz w:val="24"/>
        </w:rPr>
        <w:t>Subjecting an edge device to continuous, unmitigated Nyquist sampling during extended quiescent intervals imposes severe, unsustainable burdens on embedded computing resources. In an acoustic sensing application operating at a moderate voice-grade sampling rate of 16 kHz with 16-bit resolution, a single mono audio channel generates 32 kilobytes of raw uncompressed data every second, accumulating to approximately 115.2 megabytes per hour or 2.76 gigabytes per day. For resource-constrained edge microcontrollers (such as 32-bit ARM Cortex-M or ESP32 architectures) equipped with only a few hundred kilobytes of internal Static RAM (SRAM) and powered by compact lithium-ion or coin-cell batteries, continuously storing or wirelessly transmitting these vast volumes of uninformative baseline data rapidly depletes the energy reserve, causes network congestion, and incurs prohibitive cloud storage and processing costs.</w:t>
      </w:r>
    </w:p>
    <w:p>
      <w:pPr>
        <w:pStyle w:val="Heading2"/>
        <w:keepNext/>
        <w:spacing w:before="200" w:after="80" w:line="276" w:lineRule="auto"/>
        <w:jc w:val="left"/>
      </w:pPr>
      <w:r>
        <w:rPr>
          <w:rFonts w:ascii="Times New Roman" w:hAnsi="Times New Roman"/>
          <w:b/>
          <w:color w:val="000000"/>
          <w:sz w:val="26"/>
        </w:rPr>
        <w:t>1.2 Motivation and Practical Relevance</w:t>
      </w:r>
    </w:p>
    <w:p>
      <w:pPr>
        <w:spacing w:line="276" w:lineRule="auto" w:after="120" w:before="0"/>
        <w:jc w:val="both"/>
      </w:pPr>
      <w:r>
        <w:rPr>
          <w:rFonts w:ascii="Times New Roman" w:hAnsi="Times New Roman"/>
          <w:color w:val="000000"/>
          <w:sz w:val="24"/>
        </w:rPr>
        <w:t>The motivation behind this project arises from the severe disparity between the physical information content of non-stationary signals and the excessive energy consumption of conventional always-on sampling architectures. In distributed wireless sensor networks deployed in remote or hazardous terrains—such as structural pipeline monitoring, forest fire acoustic telemetry, and smart city infrastructure—replacing or recharging batteries is logistically impractical and economically prohibitive. Sensor nodes must operate autonomously for months or years on limited energy budgets. When a conventional edge node operates its high-speed ADC, analog frontend amplifiers, microcontroller CPU core, and wireless communication transceiver continuously, the average power dissipation frequently exceeds 120 mW to 200 mW, draining a standard 2000 mAh Li-ion battery in less than three to four days.</w:t>
      </w:r>
    </w:p>
    <w:p>
      <w:pPr>
        <w:spacing w:line="276" w:lineRule="auto" w:after="120" w:before="0"/>
        <w:jc w:val="both"/>
      </w:pPr>
      <w:r>
        <w:rPr>
          <w:rFonts w:ascii="Times New Roman" w:hAnsi="Times New Roman"/>
          <w:color w:val="000000"/>
          <w:sz w:val="24"/>
        </w:rPr>
        <w:t>Wireless radio transmission is notoriously the most power-hungry subsystem in an IoT node, often consuming two orders of magnitude more energy per bit than local computation. In continuous transmission paradigms, transmitting hundreds of megabytes of silent or stationary baseline noise consumes precious milliwatt-hours of battery capacity without delivering actionable analytical value to downstream decision-makers. Furthermore, in large-scale deployments where thousands of edge nodes transmit data concurrently to a central gateway or cloud broker, continuous raw streaming saturates wireless bandwidth (over Wi-Fi, BLE, Zigbee, or LoRaWAN), introducing severe packet collisions, channel degradation, and transmission latency.</w:t>
      </w:r>
    </w:p>
    <w:p>
      <w:pPr>
        <w:spacing w:line="276" w:lineRule="auto" w:after="120" w:before="0"/>
        <w:jc w:val="both"/>
      </w:pPr>
      <w:r>
        <w:rPr>
          <w:rFonts w:ascii="Times New Roman" w:hAnsi="Times New Roman"/>
          <w:color w:val="000000"/>
          <w:sz w:val="24"/>
        </w:rPr>
        <w:t>To fundamentally resolve this bottleneck, an intelligent sensing paradigm must shift from unselective, time-triggered uniform sampling to an event-selective, data-driven architecture. In an event-selective system, the edge node remains in an ultra-low power monitoring state during normal quiescent conditions, executing lightweight, sub-Nyquist anomaly screening. Only when a statistically significant physical transient is detected does the system activate its full burst-mode recording, high-resolution feature extraction, and high-bandwidth wireless reporting pipelines. Solving this challenge directly benefits environmental monitoring agencies, industrial plant operators, smart infrastructure managers, and healthcare providers by extending edge battery lifespans from days to years and reducing cloud data ingestion costs by over 80%.</w:t>
      </w:r>
    </w:p>
    <w:p>
      <w:pPr>
        <w:pStyle w:val="Heading2"/>
        <w:keepNext/>
        <w:spacing w:before="200" w:after="80" w:line="276" w:lineRule="auto"/>
        <w:jc w:val="left"/>
      </w:pPr>
      <w:r>
        <w:rPr>
          <w:rFonts w:ascii="Times New Roman" w:hAnsi="Times New Roman"/>
          <w:b/>
          <w:color w:val="000000"/>
          <w:sz w:val="26"/>
        </w:rPr>
        <w:t>1.3 Problem Statement</w:t>
      </w:r>
    </w:p>
    <w:p>
      <w:pPr>
        <w:spacing w:line="276" w:lineRule="auto" w:after="120" w:before="0"/>
        <w:jc w:val="both"/>
      </w:pPr>
      <w:r>
        <w:rPr>
          <w:rFonts w:ascii="Times New Roman" w:hAnsi="Times New Roman"/>
          <w:color w:val="000000"/>
          <w:sz w:val="24"/>
        </w:rPr>
        <w:t>Although the concept of event-triggered wake-up is theoretically appealing, designing an intelligent event-selective sensing architecture introduces three formidable signal processing and engineering challenges that render naive threshold-gated approaches ineffective in practice:</w:t>
      </w:r>
    </w:p>
    <w:p>
      <w:pPr>
        <w:pStyle w:val="ListBullet"/>
        <w:spacing w:line="276" w:lineRule="auto" w:after="80" w:before="0"/>
        <w:jc w:val="both"/>
      </w:pPr>
      <w:r>
        <w:rPr>
          <w:rFonts w:ascii="Times New Roman" w:hAnsi="Times New Roman"/>
          <w:b/>
          <w:color w:val="000000"/>
          <w:sz w:val="24"/>
        </w:rPr>
        <w:t xml:space="preserve">1. </w:t>
      </w:r>
      <w:r>
        <w:rPr>
          <w:rFonts w:ascii="Times New Roman" w:hAnsi="Times New Roman"/>
          <w:color w:val="000000"/>
          <w:sz w:val="24"/>
        </w:rPr>
        <w:t>Leading-Edge Transient Clipping: In traditional threshold-triggered systems, the recording subsystem only activates after the incoming analog signal crosses a predefined amplitude threshold. Because physical transducers, analog comparators, and microcontroller interrupt routines experience finite propagation delays, and because the initial rise-time of a transient event occurs before the threshold crossing, naive gating completely clips the leading edge and initial onset phase of the event. In acoustic impact analysis, seismology, and speech recognition, the initial transient phase contains crucial high-frequency onset cues, attack envelopes, and spectral signatures necessary for accurate event classification.</w:t>
      </w:r>
    </w:p>
    <w:p>
      <w:pPr>
        <w:pStyle w:val="ListBullet"/>
        <w:spacing w:line="276" w:lineRule="auto" w:after="80" w:before="0"/>
        <w:jc w:val="both"/>
      </w:pPr>
      <w:r>
        <w:rPr>
          <w:rFonts w:ascii="Times New Roman" w:hAnsi="Times New Roman"/>
          <w:b/>
          <w:color w:val="000000"/>
          <w:sz w:val="24"/>
        </w:rPr>
        <w:t xml:space="preserve">2. </w:t>
      </w:r>
      <w:r>
        <w:rPr>
          <w:rFonts w:ascii="Times New Roman" w:hAnsi="Times New Roman"/>
          <w:color w:val="000000"/>
          <w:sz w:val="24"/>
        </w:rPr>
        <w:t>Susceptibility to Noise Spikes and False Alarms: Real-world physical environments are inherently contaminated by non-stationary noise, electromagnetic interference, and spurious impulse spikes (e.g., thermal fluctuations, electrical switching transients, sudden mechanical vibrations). A simple amplitude or energy comparator with a static threshold cannot distinguish a true sustained physical event from an isolated Dirac-like noise impulse. This results in frequent false alarms, repeatedly triggering full-power recording, draining battery reserves, and generating spurious data packets.</w:t>
      </w:r>
    </w:p>
    <w:p>
      <w:pPr>
        <w:pStyle w:val="ListBullet"/>
        <w:spacing w:line="276" w:lineRule="auto" w:after="80" w:before="0"/>
        <w:jc w:val="both"/>
      </w:pPr>
      <w:r>
        <w:rPr>
          <w:rFonts w:ascii="Times New Roman" w:hAnsi="Times New Roman"/>
          <w:b/>
          <w:color w:val="000000"/>
          <w:sz w:val="24"/>
        </w:rPr>
        <w:t xml:space="preserve">3. </w:t>
      </w:r>
      <w:r>
        <w:rPr>
          <w:rFonts w:ascii="Times New Roman" w:hAnsi="Times New Roman"/>
          <w:color w:val="000000"/>
          <w:sz w:val="24"/>
        </w:rPr>
        <w:t>Threshold Chattering and Tail Truncation: During the decaying tail of an event, the signal oscillates around the detection boundary. In the absence of hysteresis and debounce mechanisms, the system undergoes rapid, unstable state oscillations (chattering), creating fragmented event segments and prematurely truncating the natural acoustic or vibrational reverberation tail before the physical event has fully dissipated.</w:t>
      </w:r>
    </w:p>
    <w:p>
      <w:pPr>
        <w:spacing w:line="276" w:lineRule="auto" w:after="120" w:before="0"/>
        <w:jc w:val="both"/>
      </w:pPr>
      <w:r>
        <w:rPr>
          <w:rFonts w:ascii="Times New Roman" w:hAnsi="Times New Roman"/>
          <w:color w:val="000000"/>
          <w:sz w:val="24"/>
        </w:rPr>
        <w:t>Formally, the problem investigated in this project is to design, implement, and validate a unified dual-mode hardware/software signal acquisition architecture that: (a) maintains continuous ultra-low power standby monitoring (&lt;= 5.0 mW); (b) autonomously detects sparse physical transients across multiple signal modalities with high sensitivity (F1-score &gt;= 95%) and sub-15ms latency; (c) guarantees 100% preservation of the pre-event leading edge and post-event tail context through circular ring buffering; and (d) achieves &gt;= 80% reduction in cumulative memory footprint and energy dissipation compared to conventional continuous Nyquist sampling.</w:t>
      </w:r>
    </w:p>
    <w:p>
      <w:pPr>
        <w:pStyle w:val="Heading2"/>
        <w:keepNext/>
        <w:spacing w:before="200" w:after="80" w:line="276" w:lineRule="auto"/>
        <w:jc w:val="left"/>
      </w:pPr>
      <w:r>
        <w:rPr>
          <w:rFonts w:ascii="Times New Roman" w:hAnsi="Times New Roman"/>
          <w:b/>
          <w:color w:val="000000"/>
          <w:sz w:val="26"/>
        </w:rPr>
        <w:t>1.4 Objectives</w:t>
      </w:r>
    </w:p>
    <w:p>
      <w:pPr>
        <w:spacing w:line="276" w:lineRule="auto" w:after="120" w:before="0"/>
        <w:jc w:val="both"/>
      </w:pPr>
      <w:r>
        <w:rPr>
          <w:rFonts w:ascii="Times New Roman" w:hAnsi="Times New Roman"/>
          <w:color w:val="000000"/>
          <w:sz w:val="24"/>
        </w:rPr>
        <w:t>To address the identified challenges, the project establishes five specific, measurable, and verifiable engineering objectives:</w:t>
      </w:r>
    </w:p>
    <w:p>
      <w:pPr>
        <w:pStyle w:val="ListBullet"/>
        <w:spacing w:line="276" w:lineRule="auto" w:after="80" w:before="0"/>
        <w:jc w:val="both"/>
      </w:pPr>
      <w:r>
        <w:rPr>
          <w:rFonts w:ascii="Times New Roman" w:hAnsi="Times New Roman"/>
          <w:b/>
          <w:color w:val="000000"/>
          <w:sz w:val="24"/>
        </w:rPr>
        <w:t xml:space="preserve">Objective 1 (FSM Architecture): </w:t>
      </w:r>
      <w:r>
        <w:rPr>
          <w:rFonts w:ascii="Times New Roman" w:hAnsi="Times New Roman"/>
          <w:color w:val="000000"/>
          <w:sz w:val="24"/>
        </w:rPr>
        <w:t>Design and construct an adaptive dual-mode sensing architecture governed by a 5-state finite state machine (FSM) comprising LOW_POWER_MONITORING, EVENT_CANDIDATE, EVENT_CONFIRMED, HIGH_RESOLUTION_RECORDING, and POST_EVENT_RECORDING states, incorporating calibrated 100 ms debounce filtering and 0.70x hysteresis release logic.</w:t>
      </w:r>
    </w:p>
    <w:p>
      <w:pPr>
        <w:pStyle w:val="ListBullet"/>
        <w:spacing w:line="276" w:lineRule="auto" w:after="80" w:before="0"/>
        <w:jc w:val="both"/>
      </w:pPr>
      <w:r>
        <w:rPr>
          <w:rFonts w:ascii="Times New Roman" w:hAnsi="Times New Roman"/>
          <w:b/>
          <w:color w:val="000000"/>
          <w:sz w:val="24"/>
        </w:rPr>
        <w:t xml:space="preserve">Objective 2 (Context Preservation): </w:t>
      </w:r>
      <w:r>
        <w:rPr>
          <w:rFonts w:ascii="Times New Roman" w:hAnsi="Times New Roman"/>
          <w:color w:val="000000"/>
          <w:sz w:val="24"/>
        </w:rPr>
        <w:t>Engineer a lock-free circular ring buffer subsystem in embedded memory capable of continuously caching raw samples over a 2.0-second sliding pre-event window and a 1.0-second post-event cooldown window, ensuring zero loss of transient leading-edge dynamics upon event confirmation.</w:t>
      </w:r>
    </w:p>
    <w:p>
      <w:pPr>
        <w:pStyle w:val="ListBullet"/>
        <w:spacing w:line="276" w:lineRule="auto" w:after="80" w:before="0"/>
        <w:jc w:val="both"/>
      </w:pPr>
      <w:r>
        <w:rPr>
          <w:rFonts w:ascii="Times New Roman" w:hAnsi="Times New Roman"/>
          <w:b/>
          <w:color w:val="000000"/>
          <w:sz w:val="24"/>
        </w:rPr>
        <w:t xml:space="preserve">Objective 3 (Feature Fusion Engine): </w:t>
      </w:r>
      <w:r>
        <w:rPr>
          <w:rFonts w:ascii="Times New Roman" w:hAnsi="Times New Roman"/>
          <w:color w:val="000000"/>
          <w:sz w:val="24"/>
        </w:rPr>
        <w:t>Develop and optimize a multi-feature signal processing fusion engine combining Short-Term Energy (STE), Root-Mean-Square (RMS) amplitude, discrete maximum slope, Short-Time Fourier Transform (STFT) sub-band spectral energy, and Z-score variance change-point detection to achieve robust event discrimination under noisy conditions (SNR &gt;= 0 dB).</w:t>
      </w:r>
    </w:p>
    <w:p>
      <w:pPr>
        <w:pStyle w:val="ListBullet"/>
        <w:spacing w:line="276" w:lineRule="auto" w:after="80" w:before="0"/>
        <w:jc w:val="both"/>
      </w:pPr>
      <w:r>
        <w:rPr>
          <w:rFonts w:ascii="Times New Roman" w:hAnsi="Times New Roman"/>
          <w:b/>
          <w:color w:val="000000"/>
          <w:sz w:val="24"/>
        </w:rPr>
        <w:t xml:space="preserve">Objective 4 (Level-Crossing Sampling): </w:t>
      </w:r>
      <w:r>
        <w:rPr>
          <w:rFonts w:ascii="Times New Roman" w:hAnsi="Times New Roman"/>
          <w:color w:val="000000"/>
          <w:sz w:val="24"/>
        </w:rPr>
        <w:t>Implement an asynchronous level-crossing non-uniform quantization algorithm as an alternative to uniform Nyquist ADC sampling, evaluating sample count reduction and signal reconstruction fidelity.</w:t>
      </w:r>
    </w:p>
    <w:p>
      <w:pPr>
        <w:pStyle w:val="ListBullet"/>
        <w:spacing w:line="276" w:lineRule="auto" w:after="80" w:before="0"/>
        <w:jc w:val="both"/>
      </w:pPr>
      <w:r>
        <w:rPr>
          <w:rFonts w:ascii="Times New Roman" w:hAnsi="Times New Roman"/>
          <w:b/>
          <w:color w:val="000000"/>
          <w:sz w:val="24"/>
        </w:rPr>
        <w:t xml:space="preserve">Objective 5 (Full-Stack Deployment &amp; Verification): </w:t>
      </w:r>
      <w:r>
        <w:rPr>
          <w:rFonts w:ascii="Times New Roman" w:hAnsi="Times New Roman"/>
          <w:color w:val="000000"/>
          <w:sz w:val="24"/>
        </w:rPr>
        <w:t>Construct and verify an end-to-end full-stack demonstration system featuring a 16 kHz Python FastAPI backend container, real-time 20 Hz WebSocket telemetry streaming, an interactive React 19 dashboard, and ESP32 hardware data ingestion, validating energy and memory reductions &gt;= 75% across 1,000 verified test trials.</w:t>
      </w:r>
    </w:p>
    <w:p>
      <w:pPr>
        <w:pStyle w:val="Heading2"/>
        <w:keepNext/>
        <w:spacing w:before="200" w:after="80" w:line="276" w:lineRule="auto"/>
        <w:jc w:val="left"/>
      </w:pPr>
      <w:r>
        <w:rPr>
          <w:rFonts w:ascii="Times New Roman" w:hAnsi="Times New Roman"/>
          <w:b/>
          <w:color w:val="000000"/>
          <w:sz w:val="26"/>
        </w:rPr>
        <w:t>1.5 Scope and Limitations</w:t>
      </w:r>
    </w:p>
    <w:p>
      <w:pPr>
        <w:spacing w:line="276" w:lineRule="auto" w:after="120" w:before="0"/>
        <w:jc w:val="both"/>
      </w:pPr>
      <w:r>
        <w:rPr>
          <w:rFonts w:ascii="Times New Roman" w:hAnsi="Times New Roman"/>
          <w:color w:val="000000"/>
          <w:sz w:val="24"/>
        </w:rPr>
        <w:t>The scope of this project encompasses the mathematical formulation, algorithmic implementation, simulation, and hardware-interfaced verification of event-selective signal acquisition techniques across multiple sensor modalities. The system supports baseband acoustic signals (speech bursts, acoustic alarms, transient impulses at 16 kHz), mechanical vibrations (impact transients, machinery anomalies at 10 kHz), environmental telemetry (thermal anomalies and optical illuminance change-points), and spatial video motion detection via frame differencing.</w:t>
      </w:r>
    </w:p>
    <w:p>
      <w:pPr>
        <w:spacing w:line="276" w:lineRule="auto" w:after="120" w:before="0"/>
        <w:jc w:val="both"/>
      </w:pPr>
      <w:r>
        <w:rPr>
          <w:rFonts w:ascii="Times New Roman" w:hAnsi="Times New Roman"/>
          <w:color w:val="000000"/>
          <w:sz w:val="24"/>
        </w:rPr>
        <w:t>The project includes full mathematical derivation of energy and memory models, battery lifetime projections using standard lithium-ion discharge profiles, asynchronous level-crossing quantization, and real-time bidirectional WebSocket communication. Hardware integration is verified through an ingestion API for the ESP32 microcontroller architecture.</w:t>
      </w:r>
    </w:p>
    <w:p>
      <w:pPr>
        <w:spacing w:line="276" w:lineRule="auto" w:after="120" w:before="0"/>
        <w:jc w:val="both"/>
      </w:pPr>
      <w:r>
        <w:rPr>
          <w:rFonts w:ascii="Times New Roman" w:hAnsi="Times New Roman"/>
          <w:color w:val="000000"/>
          <w:sz w:val="24"/>
        </w:rPr>
        <w:t>The limitations of the present investigation are recognized as follows:</w:t>
      </w:r>
    </w:p>
    <w:p>
      <w:pPr>
        <w:pStyle w:val="ListBullet"/>
        <w:spacing w:line="276" w:lineRule="auto" w:after="80" w:before="0"/>
        <w:jc w:val="both"/>
      </w:pPr>
      <w:r>
        <w:rPr>
          <w:rFonts w:ascii="Times New Roman" w:hAnsi="Times New Roman"/>
          <w:b/>
          <w:color w:val="000000"/>
          <w:sz w:val="24"/>
        </w:rPr>
        <w:t xml:space="preserve">Frequency Range: </w:t>
      </w:r>
      <w:r>
        <w:rPr>
          <w:rFonts w:ascii="Times New Roman" w:hAnsi="Times New Roman"/>
          <w:color w:val="000000"/>
          <w:sz w:val="24"/>
        </w:rPr>
        <w:t>The implementation focuses on baseband acoustic, vibrational, and environmental signals with bandwidths up to 20 kHz. Radio frequency (RF) signals, high-frequency radar, and gigahertz-rate communications are outside the scope of the software-defined processing pipeline.</w:t>
      </w:r>
    </w:p>
    <w:p>
      <w:pPr>
        <w:pStyle w:val="ListBullet"/>
        <w:spacing w:line="276" w:lineRule="auto" w:after="80" w:before="0"/>
        <w:jc w:val="both"/>
      </w:pPr>
      <w:r>
        <w:rPr>
          <w:rFonts w:ascii="Times New Roman" w:hAnsi="Times New Roman"/>
          <w:b/>
          <w:color w:val="000000"/>
          <w:sz w:val="24"/>
        </w:rPr>
        <w:t xml:space="preserve">Power Modeling: </w:t>
      </w:r>
      <w:r>
        <w:rPr>
          <w:rFonts w:ascii="Times New Roman" w:hAnsi="Times New Roman"/>
          <w:color w:val="000000"/>
          <w:sz w:val="24"/>
        </w:rPr>
        <w:t>Power dissipation figures for physical components are modeled using calibrated datasheet specifications and empirical bench measurements of the ESP32 MCU and low-power analog frontends, rather than fabricated on-chip silicon ASIC measurements.</w:t>
      </w:r>
    </w:p>
    <w:p>
      <w:pPr>
        <w:pStyle w:val="ListBullet"/>
        <w:spacing w:line="276" w:lineRule="auto" w:after="80" w:before="0"/>
        <w:jc w:val="both"/>
      </w:pPr>
      <w:r>
        <w:rPr>
          <w:rFonts w:ascii="Times New Roman" w:hAnsi="Times New Roman"/>
          <w:b/>
          <w:color w:val="000000"/>
          <w:sz w:val="24"/>
        </w:rPr>
        <w:t xml:space="preserve">Baseline Initialization: </w:t>
      </w:r>
      <w:r>
        <w:rPr>
          <w:rFonts w:ascii="Times New Roman" w:hAnsi="Times New Roman"/>
          <w:color w:val="000000"/>
          <w:sz w:val="24"/>
        </w:rPr>
        <w:t>The system assumes an initial calibration window of 1.0 to 2.0 seconds to establish baseline environmental noise statistics before initiating event detection.</w:t>
      </w:r>
    </w:p>
    <w:p>
      <w:pPr>
        <w:pStyle w:val="Heading2"/>
        <w:keepNext/>
        <w:spacing w:before="200" w:after="80" w:line="276" w:lineRule="auto"/>
        <w:jc w:val="left"/>
      </w:pPr>
      <w:r>
        <w:rPr>
          <w:rFonts w:ascii="Times New Roman" w:hAnsi="Times New Roman"/>
          <w:b/>
          <w:color w:val="000000"/>
          <w:sz w:val="26"/>
        </w:rPr>
        <w:t>1.6 Organization of the Report</w:t>
      </w:r>
    </w:p>
    <w:p>
      <w:pPr>
        <w:spacing w:line="276" w:lineRule="auto" w:after="120" w:before="0"/>
        <w:jc w:val="both"/>
      </w:pPr>
      <w:r>
        <w:rPr>
          <w:rFonts w:ascii="Times New Roman" w:hAnsi="Times New Roman"/>
          <w:color w:val="000000"/>
          <w:sz w:val="24"/>
        </w:rPr>
        <w:t>The remainder of this report is organized systematically into five subsequent chapters and supporting appendices:</w:t>
      </w:r>
    </w:p>
    <w:p>
      <w:pPr>
        <w:spacing w:line="276" w:lineRule="auto" w:after="120" w:before="0"/>
        <w:jc w:val="both"/>
      </w:pPr>
      <w:r>
        <w:rPr>
          <w:rFonts w:ascii="Times New Roman" w:hAnsi="Times New Roman"/>
          <w:color w:val="000000"/>
          <w:sz w:val="24"/>
        </w:rPr>
        <w:t>Chapter 2 provides an exhaustive literature review of conventional continuous sampling, voice activity detection (VAD), compressive sensing, neuromorphic event-based cameras, and edge machine learning triggers, culminating in a detailed comparison table and definition of the baseline reference.</w:t>
      </w:r>
    </w:p>
    <w:p>
      <w:pPr>
        <w:spacing w:line="276" w:lineRule="auto" w:after="120" w:before="0"/>
        <w:jc w:val="both"/>
      </w:pPr>
      <w:r>
        <w:rPr>
          <w:rFonts w:ascii="Times New Roman" w:hAnsi="Times New Roman"/>
          <w:color w:val="000000"/>
          <w:sz w:val="24"/>
        </w:rPr>
        <w:t>Chapter 3 presents the detailed methodology and system design, formulating the mathematical foundations of the 5-state FSM, circular ring buffer architecture, preprocessing pipeline, multi-feature fusion equations, asynchronous level-crossing sampling, and evaluation metrics.</w:t>
      </w:r>
    </w:p>
    <w:p>
      <w:pPr>
        <w:spacing w:line="276" w:lineRule="auto" w:after="120" w:before="0"/>
        <w:jc w:val="both"/>
      </w:pPr>
      <w:r>
        <w:rPr>
          <w:rFonts w:ascii="Times New Roman" w:hAnsi="Times New Roman"/>
          <w:color w:val="000000"/>
          <w:sz w:val="24"/>
        </w:rPr>
        <w:t>Chapter 4 outlines the implementation details, describing the software development toolchain, backend modules, parameters, WebSocket streaming pipeline, React 19 interactive frontend, and ESP32 hardware interface.</w:t>
      </w:r>
    </w:p>
    <w:p>
      <w:pPr>
        <w:spacing w:line="276" w:lineRule="auto" w:after="120" w:before="0"/>
        <w:jc w:val="both"/>
      </w:pPr>
      <w:r>
        <w:rPr>
          <w:rFonts w:ascii="Times New Roman" w:hAnsi="Times New Roman"/>
          <w:color w:val="000000"/>
          <w:sz w:val="24"/>
        </w:rPr>
        <w:t>Chapter 5 provides comprehensive results analysis and discussion, presenting input/output signal plots, frequency spectra, quantitative classification performance, confusion matrices, latency histograms, and power/memory reduction curves.</w:t>
      </w:r>
    </w:p>
    <w:p>
      <w:pPr>
        <w:spacing w:line="276" w:lineRule="auto" w:after="120" w:before="0"/>
        <w:jc w:val="both"/>
      </w:pPr>
      <w:r>
        <w:rPr>
          <w:rFonts w:ascii="Times New Roman" w:hAnsi="Times New Roman"/>
          <w:color w:val="000000"/>
          <w:sz w:val="24"/>
        </w:rPr>
        <w:t>Chapter 6 concludes the report with a synthesis of key findings and outlines concrete future research directions, followed by formal references and appendices documenting reproducibility deliverables, code listings, and team review progress.</w:t>
      </w:r>
    </w:p>
    <w:p>
      <w:r>
        <w:br w:type="page"/>
      </w:r>
    </w:p>
    <w:p>
      <w:pPr>
        <w:pStyle w:val="Heading1"/>
        <w:keepNext/>
        <w:spacing w:before="280" w:after="120" w:line="276" w:lineRule="auto"/>
        <w:jc w:val="left"/>
      </w:pPr>
      <w:r>
        <w:rPr>
          <w:rFonts w:ascii="Times New Roman" w:hAnsi="Times New Roman"/>
          <w:b/>
          <w:color w:val="000000"/>
          <w:sz w:val="30"/>
        </w:rPr>
        <w:t>Chapter 2 Literature Review</w:t>
      </w:r>
    </w:p>
    <w:p>
      <w:pPr>
        <w:pStyle w:val="Heading2"/>
        <w:keepNext/>
        <w:spacing w:before="200" w:after="80" w:line="276" w:lineRule="auto"/>
        <w:jc w:val="left"/>
      </w:pPr>
      <w:r>
        <w:rPr>
          <w:rFonts w:ascii="Times New Roman" w:hAnsi="Times New Roman"/>
          <w:b/>
          <w:color w:val="000000"/>
          <w:sz w:val="26"/>
        </w:rPr>
        <w:t>2.1 Existing Approaches</w:t>
      </w:r>
    </w:p>
    <w:p>
      <w:pPr>
        <w:spacing w:line="276" w:lineRule="auto" w:after="120" w:before="0"/>
        <w:jc w:val="both"/>
      </w:pPr>
      <w:r>
        <w:rPr>
          <w:rFonts w:ascii="Times New Roman" w:hAnsi="Times New Roman"/>
          <w:color w:val="000000"/>
          <w:sz w:val="24"/>
        </w:rPr>
        <w:t>The challenge of minimizing energy and data throughput in battery-constrained embedded sensing systems has been investigated through diverse architectural paradigms across signal processing, circuit theory, and machine learning. Historically, five prominent methodologies have emerged: classical continuous Nyquist acquisition, voice activity detection (VAD), compressive sensing (CS), neuromorphic event-driven architectures, and always-on edge TinyML inference.</w:t>
      </w:r>
    </w:p>
    <w:p>
      <w:pPr>
        <w:spacing w:line="276" w:lineRule="auto" w:after="120" w:before="0"/>
        <w:jc w:val="both"/>
      </w:pPr>
      <w:r>
        <w:rPr>
          <w:rFonts w:ascii="Times New Roman" w:hAnsi="Times New Roman"/>
          <w:color w:val="000000"/>
          <w:sz w:val="24"/>
        </w:rPr>
        <w:t>In classical continuous sensing systems [1], [2], analog sensors interface directly with high-speed successive-approximation (SAR) or delta-sigma ADCs running at fixed sample rates. The raw data stream is continuously written to embedded flash or transmitted across wireless links. While this guarantees that no physical information is omitted and eliminates algorithmic complexity on the edge device, its power consumption is completely decoupled from the information rate of the environment. In sparse monitoring applications, over 95% of the consumed battery energy is expended sampling, buffering, and transmitting redundant stationary noise.</w:t>
      </w:r>
    </w:p>
    <w:p>
      <w:pPr>
        <w:spacing w:line="276" w:lineRule="auto" w:after="120" w:before="0"/>
        <w:jc w:val="both"/>
      </w:pPr>
      <w:r>
        <w:rPr>
          <w:rFonts w:ascii="Times New Roman" w:hAnsi="Times New Roman"/>
          <w:color w:val="000000"/>
          <w:sz w:val="24"/>
        </w:rPr>
        <w:t>To alleviate this waste in acoustic domains, Voice Activity Detection (VAD) algorithms were developed [3], [4]. Standard telecommunication standards, such as ITU-T G.729 Annex B and 3GPP AMR VAD, employ energy-based thresholding, zero-crossing rates, and spectral flatness metrics to gate transmission during silent speech intervals. However, standard VAD algorithms are designed for voice telephony where the analog front-end and ADC remain continuously powered. The primary savings occur at the transmission codec rather than the sensor hardware level. Furthermore, simple energy thresholding without hysteresis suffers from severe false alarms in non-stationary noise environments and clips unvoiced consonants and transient speech onsets [5].</w:t>
      </w:r>
    </w:p>
    <w:p>
      <w:pPr>
        <w:spacing w:line="276" w:lineRule="auto" w:after="120" w:before="0"/>
        <w:jc w:val="both"/>
      </w:pPr>
      <w:r>
        <w:rPr>
          <w:rFonts w:ascii="Times New Roman" w:hAnsi="Times New Roman"/>
          <w:color w:val="000000"/>
          <w:sz w:val="24"/>
        </w:rPr>
        <w:t>Compressive Sensing (CS), pioneered by Candès, Romberg, Tao, and Donoho [6], [7], offered a revolutionary mathematical framework for acquiring sparse signals below the Nyquist rate by projecting the signal onto a small set of random basis vectors: y = Phi * x, where Phi is an M x N measurement matrix with M &lt;&lt; N. While CS dramatically reduces the required number of physical measurements, it shifts the computational burden to the reconstruction phase, requiring complex L1-minimization algorithms (e.g., Basis Pursuit, Orthogonal Matching Pursuit) that are computationally intractable on ultra-low-power microcontrollers. Moreover, physical realization of analog compressive sampling requires specialized analog multiplier circuits and pseudo-random sequence generators that exhibit high sensitivity to analog noise and non-idealities [8].</w:t>
      </w:r>
    </w:p>
    <w:p>
      <w:pPr>
        <w:spacing w:line="276" w:lineRule="auto" w:after="120" w:before="0"/>
        <w:jc w:val="both"/>
      </w:pPr>
      <w:r>
        <w:rPr>
          <w:rFonts w:ascii="Times New Roman" w:hAnsi="Times New Roman"/>
          <w:color w:val="000000"/>
          <w:sz w:val="24"/>
        </w:rPr>
        <w:t>Neuromorphic and event-driven architectures represent a hardware-centric bio-inspired paradigm [9], [10]. Dynamic Vision Sensors (DVS) and asynchronous level-crossing ADCs (LC-ADC) abandon the global periodic sampling clock entirely. Instead, each individual pixel or analog channel independently emits an asynchronous digital spike only when the local physical signal changes by a predefined differential increment (delta-V). Pioneering work by Schell and Tsividis [11] demonstrated that level-crossing sampling inherently adapts its instantaneous sampling density to the local signal derivative, slashing data rates by 80% to 90% during quiescent intervals. However, asynchronous event-driven hardware requires custom analog ASIC silicon, lacks compatibility with commodity microcontroller ADCs, and remains vulnerable to high-frequency noise-induced spike bursts.</w:t>
      </w:r>
    </w:p>
    <w:p>
      <w:pPr>
        <w:spacing w:line="276" w:lineRule="auto" w:after="120" w:before="0"/>
        <w:jc w:val="both"/>
      </w:pPr>
      <w:r>
        <w:rPr>
          <w:rFonts w:ascii="Times New Roman" w:hAnsi="Times New Roman"/>
          <w:color w:val="000000"/>
          <w:sz w:val="24"/>
        </w:rPr>
        <w:t>Recently, Tiny Machine Learning (TinyML) and deep neural network edge triggers have gained traction [12], [13]. Compact convolutional neural networks (CNNs) and recurrent neural networks (RNNs) are deployed directly on microcontrollers to perform keyword spotting or acoustic anomaly detection. While exhibiting superior classification accuracy in complex environments, running even a quantized 8-bit deep learning model continuously on an edge CPU consumes 20 mW to 50 mW of active processing power, which exceeds the total energy budget of ultra-low power harvesting nodes.</w:t>
      </w:r>
    </w:p>
    <w:p>
      <w:pPr>
        <w:pStyle w:val="Heading2"/>
        <w:keepNext/>
        <w:spacing w:before="200" w:after="80" w:line="276" w:lineRule="auto"/>
        <w:jc w:val="left"/>
      </w:pPr>
      <w:r>
        <w:rPr>
          <w:rFonts w:ascii="Times New Roman" w:hAnsi="Times New Roman"/>
          <w:b/>
          <w:color w:val="000000"/>
          <w:sz w:val="26"/>
        </w:rPr>
        <w:t>2.2 Comparison of Related Work</w:t>
      </w:r>
    </w:p>
    <w:p>
      <w:pPr>
        <w:spacing w:line="276" w:lineRule="auto" w:after="120" w:before="0"/>
        <w:jc w:val="both"/>
      </w:pPr>
      <w:r>
        <w:rPr>
          <w:rFonts w:ascii="Times New Roman" w:hAnsi="Times New Roman"/>
          <w:color w:val="000000"/>
          <w:sz w:val="24"/>
        </w:rPr>
        <w:t>To systematically evaluate the trade-offs among existing approaches and position the contribution of this project, Table 2.1 provides a multi-dimensional comparative analysis across standby power, active power, pre-event context preservation, false alarm rejection, computational complexity, and hardware adaptability.</w:t>
      </w:r>
    </w:p>
    <w:tbl>
      <w:tblPr>
        <w:tblStyle w:val="TableGrid"/>
        <w:tblW w:type="auto" w:w="0"/>
        <w:jc w:val="center"/>
        <w:tblLook w:firstColumn="1" w:firstRow="1" w:lastColumn="0" w:lastRow="0" w:noHBand="0" w:noVBand="1" w:val="04A0"/>
      </w:tblPr>
      <w:tblGrid>
        <w:gridCol w:w="1572"/>
        <w:gridCol w:w="1572"/>
        <w:gridCol w:w="1572"/>
        <w:gridCol w:w="1572"/>
        <w:gridCol w:w="1572"/>
        <w:gridCol w:w="1572"/>
      </w:tblGrid>
      <w:tr>
        <w:trPr>
          <w:tblHeader/>
        </w:trPr>
        <w:tc>
          <w:tcPr>
            <w:tcW w:type="dxa" w:w="2160"/>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Architecture / Source</w:t>
            </w:r>
          </w:p>
        </w:tc>
        <w:tc>
          <w:tcPr>
            <w:tcW w:type="dxa" w:w="1440"/>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Standby Power</w:t>
            </w:r>
          </w:p>
        </w:tc>
        <w:tc>
          <w:tcPr>
            <w:tcW w:type="dxa" w:w="1440"/>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Active Power</w:t>
            </w:r>
          </w:p>
        </w:tc>
        <w:tc>
          <w:tcPr>
            <w:tcW w:type="dxa" w:w="1728"/>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Pre-Event Context</w:t>
            </w:r>
          </w:p>
        </w:tc>
        <w:tc>
          <w:tcPr>
            <w:tcW w:type="dxa" w:w="1584"/>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False Alarm Rejection</w:t>
            </w:r>
          </w:p>
        </w:tc>
        <w:tc>
          <w:tcPr>
            <w:tcW w:type="dxa" w:w="1728"/>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Hardware Adaptability</w:t>
            </w:r>
          </w:p>
        </w:tc>
      </w:tr>
      <w:tr>
        <w:tc>
          <w:tcPr>
            <w:tcW w:type="dxa" w:w="2160"/>
            <w:tcMar>
              <w:top w:w="100" w:type="dxa"/>
              <w:bottom w:w="100" w:type="dxa"/>
              <w:left w:w="130" w:type="dxa"/>
              <w:right w:w="130" w:type="dxa"/>
            </w:tcMar>
          </w:tcPr>
          <w:p>
            <w:pPr>
              <w:spacing w:line="252" w:lineRule="auto" w:before="0" w:after="0"/>
              <w:jc w:val="left"/>
            </w:pPr>
            <w:r>
              <w:rPr>
                <w:rFonts w:ascii="Times New Roman" w:hAnsi="Times New Roman"/>
                <w:color w:val="141414"/>
                <w:sz w:val="19"/>
              </w:rPr>
              <w:t>Continuous Nyquist [1]</w:t>
              <w:br/>
              <w:t>(Traditional Always-On)</w:t>
            </w:r>
          </w:p>
        </w:tc>
        <w:tc>
          <w:tcPr>
            <w:tcW w:type="dxa" w:w="1440"/>
            <w:tcMar>
              <w:top w:w="100" w:type="dxa"/>
              <w:bottom w:w="100" w:type="dxa"/>
              <w:left w:w="130" w:type="dxa"/>
              <w:right w:w="130" w:type="dxa"/>
            </w:tcMar>
          </w:tcPr>
          <w:p>
            <w:pPr>
              <w:spacing w:line="252" w:lineRule="auto" w:before="0" w:after="0"/>
              <w:jc w:val="left"/>
            </w:pPr>
            <w:r>
              <w:rPr>
                <w:rFonts w:ascii="Times New Roman" w:hAnsi="Times New Roman"/>
                <w:color w:val="141414"/>
                <w:sz w:val="19"/>
              </w:rPr>
              <w:t>N/A</w:t>
              <w:br/>
              <w:t>(Always Active)</w:t>
            </w:r>
          </w:p>
        </w:tc>
        <w:tc>
          <w:tcPr>
            <w:tcW w:type="dxa" w:w="1440"/>
            <w:tcMar>
              <w:top w:w="100" w:type="dxa"/>
              <w:bottom w:w="100" w:type="dxa"/>
              <w:left w:w="130" w:type="dxa"/>
              <w:right w:w="130" w:type="dxa"/>
            </w:tcMar>
          </w:tcPr>
          <w:p>
            <w:pPr>
              <w:spacing w:line="252" w:lineRule="auto" w:before="0" w:after="0"/>
              <w:jc w:val="left"/>
            </w:pPr>
            <w:r>
              <w:rPr>
                <w:rFonts w:ascii="Times New Roman" w:hAnsi="Times New Roman"/>
                <w:color w:val="141414"/>
                <w:sz w:val="19"/>
              </w:rPr>
              <w:t>High</w:t>
              <w:br/>
              <w:t>(120–200 mW)</w:t>
            </w:r>
          </w:p>
        </w:tc>
        <w:tc>
          <w:tcPr>
            <w:tcW w:type="dxa" w:w="1728"/>
            <w:tcMar>
              <w:top w:w="100" w:type="dxa"/>
              <w:bottom w:w="100" w:type="dxa"/>
              <w:left w:w="130" w:type="dxa"/>
              <w:right w:w="130" w:type="dxa"/>
            </w:tcMar>
          </w:tcPr>
          <w:p>
            <w:pPr>
              <w:spacing w:line="252" w:lineRule="auto" w:before="0" w:after="0"/>
              <w:jc w:val="left"/>
            </w:pPr>
            <w:r>
              <w:rPr>
                <w:rFonts w:ascii="Times New Roman" w:hAnsi="Times New Roman"/>
                <w:color w:val="141414"/>
                <w:sz w:val="19"/>
              </w:rPr>
              <w:t>Full</w:t>
              <w:br/>
              <w:t>(Continuous stream)</w:t>
            </w:r>
          </w:p>
        </w:tc>
        <w:tc>
          <w:tcPr>
            <w:tcW w:type="dxa" w:w="1584"/>
            <w:tcMar>
              <w:top w:w="100" w:type="dxa"/>
              <w:bottom w:w="100" w:type="dxa"/>
              <w:left w:w="130" w:type="dxa"/>
              <w:right w:w="130" w:type="dxa"/>
            </w:tcMar>
          </w:tcPr>
          <w:p>
            <w:pPr>
              <w:spacing w:line="252" w:lineRule="auto" w:before="0" w:after="0"/>
              <w:jc w:val="left"/>
            </w:pPr>
            <w:r>
              <w:rPr>
                <w:rFonts w:ascii="Times New Roman" w:hAnsi="Times New Roman"/>
                <w:color w:val="141414"/>
                <w:sz w:val="19"/>
              </w:rPr>
              <w:t>N/A</w:t>
              <w:br/>
              <w:t>(No gating)</w:t>
            </w:r>
          </w:p>
        </w:tc>
        <w:tc>
          <w:tcPr>
            <w:tcW w:type="dxa" w:w="1728"/>
            <w:tcMar>
              <w:top w:w="100" w:type="dxa"/>
              <w:bottom w:w="100" w:type="dxa"/>
              <w:left w:w="130" w:type="dxa"/>
              <w:right w:w="130" w:type="dxa"/>
            </w:tcMar>
          </w:tcPr>
          <w:p>
            <w:pPr>
              <w:spacing w:line="252" w:lineRule="auto" w:before="0" w:after="0"/>
              <w:jc w:val="left"/>
            </w:pPr>
            <w:r>
              <w:rPr>
                <w:rFonts w:ascii="Times New Roman" w:hAnsi="Times New Roman"/>
                <w:color w:val="141414"/>
                <w:sz w:val="19"/>
              </w:rPr>
              <w:t>Universal</w:t>
              <w:br/>
              <w:t>(Any standard ADC)</w:t>
            </w:r>
          </w:p>
        </w:tc>
      </w:tr>
      <w:tr>
        <w:tc>
          <w:tcPr>
            <w:tcW w:type="dxa" w:w="216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VAD Energy Gating [3]</w:t>
              <w:br/>
              <w:t>(ITU-T G.729B)</w:t>
            </w:r>
          </w:p>
        </w:tc>
        <w:tc>
          <w:tcPr>
            <w:tcW w:type="dxa" w:w="144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Moderate</w:t>
              <w:br/>
              <w:t>(35–60 mW)</w:t>
            </w:r>
          </w:p>
        </w:tc>
        <w:tc>
          <w:tcPr>
            <w:tcW w:type="dxa" w:w="144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High</w:t>
              <w:br/>
              <w:t>(120–180 mW)</w:t>
            </w:r>
          </w:p>
        </w:tc>
        <w:tc>
          <w:tcPr>
            <w:tcW w:type="dxa" w:w="1728"/>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None / Clipped</w:t>
              <w:br/>
              <w:t>(Post-threshold only)</w:t>
            </w:r>
          </w:p>
        </w:tc>
        <w:tc>
          <w:tcPr>
            <w:tcW w:type="dxa" w:w="158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Poor</w:t>
              <w:br/>
              <w:t>(High noise triggers)</w:t>
            </w:r>
          </w:p>
        </w:tc>
        <w:tc>
          <w:tcPr>
            <w:tcW w:type="dxa" w:w="1728"/>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Standard DSP /</w:t>
              <w:br/>
              <w:t>Microcontroller</w:t>
            </w:r>
          </w:p>
        </w:tc>
      </w:tr>
      <w:tr>
        <w:tc>
          <w:tcPr>
            <w:tcW w:type="dxa" w:w="2160"/>
            <w:tcMar>
              <w:top w:w="100" w:type="dxa"/>
              <w:bottom w:w="100" w:type="dxa"/>
              <w:left w:w="130" w:type="dxa"/>
              <w:right w:w="130" w:type="dxa"/>
            </w:tcMar>
          </w:tcPr>
          <w:p>
            <w:pPr>
              <w:spacing w:line="252" w:lineRule="auto" w:before="0" w:after="0"/>
              <w:jc w:val="left"/>
            </w:pPr>
            <w:r>
              <w:rPr>
                <w:rFonts w:ascii="Times New Roman" w:hAnsi="Times New Roman"/>
                <w:color w:val="141414"/>
                <w:sz w:val="19"/>
              </w:rPr>
              <w:t>Compressive Sensing [6]</w:t>
              <w:br/>
              <w:t>(Random Projections)</w:t>
            </w:r>
          </w:p>
        </w:tc>
        <w:tc>
          <w:tcPr>
            <w:tcW w:type="dxa" w:w="1440"/>
            <w:tcMar>
              <w:top w:w="100" w:type="dxa"/>
              <w:bottom w:w="100" w:type="dxa"/>
              <w:left w:w="130" w:type="dxa"/>
              <w:right w:w="130" w:type="dxa"/>
            </w:tcMar>
          </w:tcPr>
          <w:p>
            <w:pPr>
              <w:spacing w:line="252" w:lineRule="auto" w:before="0" w:after="0"/>
              <w:jc w:val="left"/>
            </w:pPr>
            <w:r>
              <w:rPr>
                <w:rFonts w:ascii="Times New Roman" w:hAnsi="Times New Roman"/>
                <w:color w:val="141414"/>
                <w:sz w:val="19"/>
              </w:rPr>
              <w:t>Low</w:t>
              <w:br/>
              <w:t>(10–25 mW)</w:t>
            </w:r>
          </w:p>
        </w:tc>
        <w:tc>
          <w:tcPr>
            <w:tcW w:type="dxa" w:w="1440"/>
            <w:tcMar>
              <w:top w:w="100" w:type="dxa"/>
              <w:bottom w:w="100" w:type="dxa"/>
              <w:left w:w="130" w:type="dxa"/>
              <w:right w:w="130" w:type="dxa"/>
            </w:tcMar>
          </w:tcPr>
          <w:p>
            <w:pPr>
              <w:spacing w:line="252" w:lineRule="auto" w:before="0" w:after="0"/>
              <w:jc w:val="left"/>
            </w:pPr>
            <w:r>
              <w:rPr>
                <w:rFonts w:ascii="Times New Roman" w:hAnsi="Times New Roman"/>
                <w:color w:val="141414"/>
                <w:sz w:val="19"/>
              </w:rPr>
              <w:t>Very High (Recon)</w:t>
              <w:br/>
              <w:t>(Compute intensive)</w:t>
            </w:r>
          </w:p>
        </w:tc>
        <w:tc>
          <w:tcPr>
            <w:tcW w:type="dxa" w:w="1728"/>
            <w:tcMar>
              <w:top w:w="100" w:type="dxa"/>
              <w:bottom w:w="100" w:type="dxa"/>
              <w:left w:w="130" w:type="dxa"/>
              <w:right w:w="130" w:type="dxa"/>
            </w:tcMar>
          </w:tcPr>
          <w:p>
            <w:pPr>
              <w:spacing w:line="252" w:lineRule="auto" w:before="0" w:after="0"/>
              <w:jc w:val="left"/>
            </w:pPr>
            <w:r>
              <w:rPr>
                <w:rFonts w:ascii="Times New Roman" w:hAnsi="Times New Roman"/>
                <w:color w:val="141414"/>
                <w:sz w:val="19"/>
              </w:rPr>
              <w:t>Partial</w:t>
              <w:br/>
              <w:t>(Reconstruction loss)</w:t>
            </w:r>
          </w:p>
        </w:tc>
        <w:tc>
          <w:tcPr>
            <w:tcW w:type="dxa" w:w="1584"/>
            <w:tcMar>
              <w:top w:w="100" w:type="dxa"/>
              <w:bottom w:w="100" w:type="dxa"/>
              <w:left w:w="130" w:type="dxa"/>
              <w:right w:w="130" w:type="dxa"/>
            </w:tcMar>
          </w:tcPr>
          <w:p>
            <w:pPr>
              <w:spacing w:line="252" w:lineRule="auto" w:before="0" w:after="0"/>
              <w:jc w:val="left"/>
            </w:pPr>
            <w:r>
              <w:rPr>
                <w:rFonts w:ascii="Times New Roman" w:hAnsi="Times New Roman"/>
                <w:color w:val="141414"/>
                <w:sz w:val="19"/>
              </w:rPr>
              <w:t>Moderate</w:t>
              <w:br/>
              <w:t>(Sensitive to noise)</w:t>
            </w:r>
          </w:p>
        </w:tc>
        <w:tc>
          <w:tcPr>
            <w:tcW w:type="dxa" w:w="1728"/>
            <w:tcMar>
              <w:top w:w="100" w:type="dxa"/>
              <w:bottom w:w="100" w:type="dxa"/>
              <w:left w:w="130" w:type="dxa"/>
              <w:right w:w="130" w:type="dxa"/>
            </w:tcMar>
          </w:tcPr>
          <w:p>
            <w:pPr>
              <w:spacing w:line="252" w:lineRule="auto" w:before="0" w:after="0"/>
              <w:jc w:val="left"/>
            </w:pPr>
            <w:r>
              <w:rPr>
                <w:rFonts w:ascii="Times New Roman" w:hAnsi="Times New Roman"/>
                <w:color w:val="141414"/>
                <w:sz w:val="19"/>
              </w:rPr>
              <w:t>Requires custom</w:t>
              <w:br/>
              <w:t>Analog Frontend</w:t>
            </w:r>
          </w:p>
        </w:tc>
      </w:tr>
      <w:tr>
        <w:tc>
          <w:tcPr>
            <w:tcW w:type="dxa" w:w="216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Neuromorphic DVS / LC [9]</w:t>
              <w:br/>
              <w:t>(Asynchronous Spikes)</w:t>
            </w:r>
          </w:p>
        </w:tc>
        <w:tc>
          <w:tcPr>
            <w:tcW w:type="dxa" w:w="144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Very Low</w:t>
              <w:br/>
              <w:t>(1–5 mW)</w:t>
            </w:r>
          </w:p>
        </w:tc>
        <w:tc>
          <w:tcPr>
            <w:tcW w:type="dxa" w:w="144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Low</w:t>
              <w:br/>
              <w:t>(10–30 mW)</w:t>
            </w:r>
          </w:p>
        </w:tc>
        <w:tc>
          <w:tcPr>
            <w:tcW w:type="dxa" w:w="1728"/>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None</w:t>
              <w:br/>
              <w:t>(Transient spikes only)</w:t>
            </w:r>
          </w:p>
        </w:tc>
        <w:tc>
          <w:tcPr>
            <w:tcW w:type="dxa" w:w="158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Moderate</w:t>
              <w:br/>
              <w:t>(Noise burst risk)</w:t>
            </w:r>
          </w:p>
        </w:tc>
        <w:tc>
          <w:tcPr>
            <w:tcW w:type="dxa" w:w="1728"/>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Requires custom</w:t>
              <w:br/>
              <w:t>ASIC / Incompatible</w:t>
            </w:r>
          </w:p>
        </w:tc>
      </w:tr>
      <w:tr>
        <w:tc>
          <w:tcPr>
            <w:tcW w:type="dxa" w:w="2160"/>
            <w:tcMar>
              <w:top w:w="100" w:type="dxa"/>
              <w:bottom w:w="100" w:type="dxa"/>
              <w:left w:w="130" w:type="dxa"/>
              <w:right w:w="130" w:type="dxa"/>
            </w:tcMar>
          </w:tcPr>
          <w:p>
            <w:pPr>
              <w:spacing w:line="252" w:lineRule="auto" w:before="0" w:after="0"/>
              <w:jc w:val="left"/>
            </w:pPr>
            <w:r>
              <w:rPr>
                <w:rFonts w:ascii="Times New Roman" w:hAnsi="Times New Roman"/>
                <w:color w:val="141414"/>
                <w:sz w:val="19"/>
              </w:rPr>
              <w:t>Always-On TinyML [12]</w:t>
              <w:br/>
              <w:t>(Edge CNN / RNN)</w:t>
            </w:r>
          </w:p>
        </w:tc>
        <w:tc>
          <w:tcPr>
            <w:tcW w:type="dxa" w:w="1440"/>
            <w:tcMar>
              <w:top w:w="100" w:type="dxa"/>
              <w:bottom w:w="100" w:type="dxa"/>
              <w:left w:w="130" w:type="dxa"/>
              <w:right w:w="130" w:type="dxa"/>
            </w:tcMar>
          </w:tcPr>
          <w:p>
            <w:pPr>
              <w:spacing w:line="252" w:lineRule="auto" w:before="0" w:after="0"/>
              <w:jc w:val="left"/>
            </w:pPr>
            <w:r>
              <w:rPr>
                <w:rFonts w:ascii="Times New Roman" w:hAnsi="Times New Roman"/>
                <w:color w:val="141414"/>
                <w:sz w:val="19"/>
              </w:rPr>
              <w:t>High</w:t>
              <w:br/>
              <w:t>(30–60 mW)</w:t>
            </w:r>
          </w:p>
        </w:tc>
        <w:tc>
          <w:tcPr>
            <w:tcW w:type="dxa" w:w="1440"/>
            <w:tcMar>
              <w:top w:w="100" w:type="dxa"/>
              <w:bottom w:w="100" w:type="dxa"/>
              <w:left w:w="130" w:type="dxa"/>
              <w:right w:w="130" w:type="dxa"/>
            </w:tcMar>
          </w:tcPr>
          <w:p>
            <w:pPr>
              <w:spacing w:line="252" w:lineRule="auto" w:before="0" w:after="0"/>
              <w:jc w:val="left"/>
            </w:pPr>
            <w:r>
              <w:rPr>
                <w:rFonts w:ascii="Times New Roman" w:hAnsi="Times New Roman"/>
                <w:color w:val="141414"/>
                <w:sz w:val="19"/>
              </w:rPr>
              <w:t>High</w:t>
              <w:br/>
              <w:t>(100–180 mW)</w:t>
            </w:r>
          </w:p>
        </w:tc>
        <w:tc>
          <w:tcPr>
            <w:tcW w:type="dxa" w:w="1728"/>
            <w:tcMar>
              <w:top w:w="100" w:type="dxa"/>
              <w:bottom w:w="100" w:type="dxa"/>
              <w:left w:w="130" w:type="dxa"/>
              <w:right w:w="130" w:type="dxa"/>
            </w:tcMar>
          </w:tcPr>
          <w:p>
            <w:pPr>
              <w:spacing w:line="252" w:lineRule="auto" w:before="0" w:after="0"/>
              <w:jc w:val="left"/>
            </w:pPr>
            <w:r>
              <w:rPr>
                <w:rFonts w:ascii="Times New Roman" w:hAnsi="Times New Roman"/>
                <w:color w:val="141414"/>
                <w:sz w:val="19"/>
              </w:rPr>
              <w:t>Full</w:t>
              <w:br/>
              <w:t>(Sliding window)</w:t>
            </w:r>
          </w:p>
        </w:tc>
        <w:tc>
          <w:tcPr>
            <w:tcW w:type="dxa" w:w="1584"/>
            <w:tcMar>
              <w:top w:w="100" w:type="dxa"/>
              <w:bottom w:w="100" w:type="dxa"/>
              <w:left w:w="130" w:type="dxa"/>
              <w:right w:w="130" w:type="dxa"/>
            </w:tcMar>
          </w:tcPr>
          <w:p>
            <w:pPr>
              <w:spacing w:line="252" w:lineRule="auto" w:before="0" w:after="0"/>
              <w:jc w:val="left"/>
            </w:pPr>
            <w:r>
              <w:rPr>
                <w:rFonts w:ascii="Times New Roman" w:hAnsi="Times New Roman"/>
                <w:color w:val="141414"/>
                <w:sz w:val="19"/>
              </w:rPr>
              <w:t>Excellent</w:t>
              <w:br/>
              <w:t>(Learned features)</w:t>
            </w:r>
          </w:p>
        </w:tc>
        <w:tc>
          <w:tcPr>
            <w:tcW w:type="dxa" w:w="1728"/>
            <w:tcMar>
              <w:top w:w="100" w:type="dxa"/>
              <w:bottom w:w="100" w:type="dxa"/>
              <w:left w:w="130" w:type="dxa"/>
              <w:right w:w="130" w:type="dxa"/>
            </w:tcMar>
          </w:tcPr>
          <w:p>
            <w:pPr>
              <w:spacing w:line="252" w:lineRule="auto" w:before="0" w:after="0"/>
              <w:jc w:val="left"/>
            </w:pPr>
            <w:r>
              <w:rPr>
                <w:rFonts w:ascii="Times New Roman" w:hAnsi="Times New Roman"/>
                <w:color w:val="141414"/>
                <w:sz w:val="19"/>
              </w:rPr>
              <w:t>Standard 32-bit MCU</w:t>
              <w:br/>
              <w:t>(Heavy SRAM load)</w:t>
            </w:r>
          </w:p>
        </w:tc>
      </w:tr>
      <w:tr>
        <w:tc>
          <w:tcPr>
            <w:tcW w:type="dxa" w:w="216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Proposed Event-Selective</w:t>
              <w:br/>
              <w:t>(FSM + Ring Buffer + Fusion)</w:t>
            </w:r>
          </w:p>
        </w:tc>
        <w:tc>
          <w:tcPr>
            <w:tcW w:type="dxa" w:w="144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Ultra-Low</w:t>
              <w:br/>
              <w:t>(5.0 mW)</w:t>
            </w:r>
          </w:p>
        </w:tc>
        <w:tc>
          <w:tcPr>
            <w:tcW w:type="dxa" w:w="144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Moderate Burst</w:t>
              <w:br/>
              <w:t>(150.0 mW)</w:t>
            </w:r>
          </w:p>
        </w:tc>
        <w:tc>
          <w:tcPr>
            <w:tcW w:type="dxa" w:w="1728"/>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Full (100% Guaranteed)</w:t>
              <w:br/>
              <w:t>(2.0s Pre-Ring Buffer)</w:t>
            </w:r>
          </w:p>
        </w:tc>
        <w:tc>
          <w:tcPr>
            <w:tcW w:type="dxa" w:w="158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Superior</w:t>
              <w:br/>
              <w:t>(Debounce + Hysteresis)</w:t>
            </w:r>
          </w:p>
        </w:tc>
        <w:tc>
          <w:tcPr>
            <w:tcW w:type="dxa" w:w="1728"/>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Universal Standard MCU</w:t>
              <w:br/>
              <w:t>(ESP32 / ARM / Python)</w:t>
            </w:r>
          </w:p>
        </w:tc>
      </w:tr>
    </w:tbl>
    <w:p>
      <w:pPr>
        <w:spacing w:before="0" w:after="120"/>
      </w:pPr>
    </w:p>
    <w:p>
      <w:pPr>
        <w:spacing w:line="276" w:lineRule="auto" w:after="120" w:before="0"/>
        <w:jc w:val="both"/>
      </w:pPr>
      <w:r>
        <w:rPr>
          <w:rFonts w:ascii="Times New Roman" w:hAnsi="Times New Roman"/>
          <w:color w:val="000000"/>
          <w:sz w:val="24"/>
        </w:rPr>
        <w:t>As highlighted in Table 2.1, conventional continuous Nyquist sampling guarantees complete signal context but wastes enormous active power. Traditional VAD and simple threshold gating suffer from fatal leading-edge clipping and high false alarm rates. Compressive sensing imposes prohibitive reconstruction complexity, while neuromorphic event-based sensing requires specialized, non-standard ASIC hardware. Always-on TinyML delivers high classification fidelity but consumes excessive standby power. The proposed architecture bridges this technological gap by combining the ultra-low standby power of event-driven screening (5.0 mW), the flawless pre-event transient preservation of circular ring buffering, the robust noise immunity of multi-feature fusion with debounce and hysteresis, and universal deployability on commodity microcontroller hardware.</w:t>
      </w:r>
    </w:p>
    <w:p>
      <w:pPr>
        <w:pStyle w:val="Heading2"/>
        <w:keepNext/>
        <w:spacing w:before="200" w:after="80" w:line="276" w:lineRule="auto"/>
        <w:jc w:val="left"/>
      </w:pPr>
      <w:r>
        <w:rPr>
          <w:rFonts w:ascii="Times New Roman" w:hAnsi="Times New Roman"/>
          <w:b/>
          <w:color w:val="000000"/>
          <w:sz w:val="26"/>
        </w:rPr>
        <w:t>2.3 Research Question and Project Contribution</w:t>
      </w:r>
    </w:p>
    <w:p>
      <w:pPr>
        <w:spacing w:line="276" w:lineRule="auto" w:after="120" w:before="0"/>
        <w:jc w:val="both"/>
      </w:pPr>
      <w:r>
        <w:rPr>
          <w:rFonts w:ascii="Times New Roman" w:hAnsi="Times New Roman"/>
          <w:color w:val="000000"/>
          <w:sz w:val="24"/>
        </w:rPr>
        <w:t>Arising from the critical review of the literature, the central research question investigated in this project is:</w:t>
      </w:r>
    </w:p>
    <w:p>
      <w:pPr>
        <w:spacing w:line="276" w:lineRule="auto" w:after="120" w:before="0"/>
        <w:jc w:val="both"/>
      </w:pPr>
      <w:r>
        <w:rPr>
          <w:rFonts w:ascii="Times New Roman" w:hAnsi="Times New Roman"/>
          <w:i/>
          <w:color w:val="000000"/>
          <w:sz w:val="24"/>
        </w:rPr>
        <w:t xml:space="preserve">Core Research Question: </w:t>
      </w:r>
      <w:r>
        <w:rPr>
          <w:rFonts w:ascii="Times New Roman" w:hAnsi="Times New Roman"/>
          <w:color w:val="000000"/>
          <w:sz w:val="24"/>
        </w:rPr>
        <w:t>“How can an edge signal sensing system achieve near-zero false alarms and 100% preservation of transient leading edges across multi-modal non-stationary signals, while restricting standby power dissipation to less than 10% of continuous Nyquist acquisition?”</w:t>
      </w:r>
    </w:p>
    <w:p>
      <w:pPr>
        <w:spacing w:line="276" w:lineRule="auto" w:after="120" w:before="0"/>
        <w:jc w:val="both"/>
      </w:pPr>
      <w:r>
        <w:rPr>
          <w:rFonts w:ascii="Times New Roman" w:hAnsi="Times New Roman"/>
          <w:color w:val="000000"/>
          <w:sz w:val="24"/>
        </w:rPr>
        <w:t>In resolving this research question, the primary technical contributions of this project are fourfold:</w:t>
      </w:r>
    </w:p>
    <w:p>
      <w:pPr>
        <w:pStyle w:val="ListBullet"/>
        <w:spacing w:line="276" w:lineRule="auto" w:after="80" w:before="0"/>
        <w:jc w:val="both"/>
      </w:pPr>
      <w:r>
        <w:rPr>
          <w:rFonts w:ascii="Times New Roman" w:hAnsi="Times New Roman"/>
          <w:b/>
          <w:color w:val="000000"/>
          <w:sz w:val="24"/>
        </w:rPr>
        <w:t xml:space="preserve">1. </w:t>
      </w:r>
      <w:r>
        <w:rPr>
          <w:rFonts w:ascii="Times New Roman" w:hAnsi="Times New Roman"/>
          <w:color w:val="000000"/>
          <w:sz w:val="24"/>
        </w:rPr>
        <w:t>5-State Adaptive Event State Machine: We formulate and implement an asynchronous 5-state finite state machine (FSM) that governs the acquisition transitions between low-power monitoring and active burst recording. By enforcing an empirical 100 ms debounce duration in the EVENT_CANDIDATE state and a 0.70x hysteresis release threshold in the POST_EVENT_RECORDING state, the system rigorously suppresses transient Dirac-like noise spikes and eliminates threshold chattering.</w:t>
      </w:r>
    </w:p>
    <w:p>
      <w:pPr>
        <w:pStyle w:val="ListBullet"/>
        <w:spacing w:line="276" w:lineRule="auto" w:after="80" w:before="0"/>
        <w:jc w:val="both"/>
      </w:pPr>
      <w:r>
        <w:rPr>
          <w:rFonts w:ascii="Times New Roman" w:hAnsi="Times New Roman"/>
          <w:b/>
          <w:color w:val="000000"/>
          <w:sz w:val="24"/>
        </w:rPr>
        <w:t xml:space="preserve">2. </w:t>
      </w:r>
      <w:r>
        <w:rPr>
          <w:rFonts w:ascii="Times New Roman" w:hAnsi="Times New Roman"/>
          <w:color w:val="000000"/>
          <w:sz w:val="24"/>
        </w:rPr>
        <w:t>Lock-Free Circular Ring Buffering for Pre/Post Context: We develop an in-memory lock-free circular ring buffer subsystem that continuously maintains a 2.0-second rolling history of raw analog samples during the 5.0 mW low-power monitoring state. Upon event confirmation, this pre-event context is instantly prepended to the high-resolution burst record, completely overcoming the leading-edge clipping problem inherent in all classical threshold triggers.</w:t>
      </w:r>
    </w:p>
    <w:p>
      <w:pPr>
        <w:pStyle w:val="ListBullet"/>
        <w:spacing w:line="276" w:lineRule="auto" w:after="80" w:before="0"/>
        <w:jc w:val="both"/>
      </w:pPr>
      <w:r>
        <w:rPr>
          <w:rFonts w:ascii="Times New Roman" w:hAnsi="Times New Roman"/>
          <w:b/>
          <w:color w:val="000000"/>
          <w:sz w:val="24"/>
        </w:rPr>
        <w:t xml:space="preserve">3. </w:t>
      </w:r>
      <w:r>
        <w:rPr>
          <w:rFonts w:ascii="Times New Roman" w:hAnsi="Times New Roman"/>
          <w:color w:val="000000"/>
          <w:sz w:val="24"/>
        </w:rPr>
        <w:t>Multi-Modal Feature Fusion Engine: We engineer a normalized weighted feature fusion framework that combines time-domain metrics (Short-Term Energy, RMS, discrete maximum slope), frequency-domain spectral features (STFT sub-band energy, spectral centroid), and statistical change-point detection (Z-score variance deviation). This multi-feature synergy achieves high event detection F1-score (&gt;96%) even in low-SNR environments.</w:t>
      </w:r>
    </w:p>
    <w:p>
      <w:pPr>
        <w:pStyle w:val="ListBullet"/>
        <w:spacing w:line="276" w:lineRule="auto" w:after="80" w:before="0"/>
        <w:jc w:val="both"/>
      </w:pPr>
      <w:r>
        <w:rPr>
          <w:rFonts w:ascii="Times New Roman" w:hAnsi="Times New Roman"/>
          <w:b/>
          <w:color w:val="000000"/>
          <w:sz w:val="24"/>
        </w:rPr>
        <w:t xml:space="preserve">4. </w:t>
      </w:r>
      <w:r>
        <w:rPr>
          <w:rFonts w:ascii="Times New Roman" w:hAnsi="Times New Roman"/>
          <w:color w:val="000000"/>
          <w:sz w:val="24"/>
        </w:rPr>
        <w:t>Asynchronous Level-Crossing Quantization with Full-Stack Verification: We implement an asynchronous level-crossing quantization algorithm that samples signals strictly on amplitude delta crossings, demonstrating a 62% to 84% reduction in sample counts. We validate the entire pipeline via an end-to-end full-stack deployment comprising a 16 kHz FastAPI backend, 20 Hz WebSocket streaming, and a React 19 interactive telemetry dashboard.</w:t>
      </w:r>
    </w:p>
    <w:p>
      <w:pPr>
        <w:pStyle w:val="Heading2"/>
        <w:keepNext/>
        <w:spacing w:before="200" w:after="80" w:line="276" w:lineRule="auto"/>
        <w:jc w:val="left"/>
      </w:pPr>
      <w:r>
        <w:rPr>
          <w:rFonts w:ascii="Times New Roman" w:hAnsi="Times New Roman"/>
          <w:b/>
          <w:color w:val="000000"/>
          <w:sz w:val="26"/>
        </w:rPr>
        <w:t>2.4 Choice of Baseline</w:t>
      </w:r>
    </w:p>
    <w:p>
      <w:pPr>
        <w:spacing w:line="276" w:lineRule="auto" w:after="120" w:before="0"/>
        <w:jc w:val="both"/>
      </w:pPr>
      <w:r>
        <w:rPr>
          <w:rFonts w:ascii="Times New Roman" w:hAnsi="Times New Roman"/>
          <w:color w:val="000000"/>
          <w:sz w:val="24"/>
        </w:rPr>
        <w:t>To ensure a rigorous, unambiguous, and fair evaluation, the primary baseline reference chosen for this investigation is standard continuous uniform Nyquist sampling operating at 16 kHz with 16-bit quantization depth on a single analog channel, coupled with uninterrupted data storage and wireless streaming. This baseline represents the prevailing standard architecture utilized in modern industrial acoustic sensors, continuous vibration loggers, and commercial telemetry units.</w:t>
      </w:r>
    </w:p>
    <w:p>
      <w:pPr>
        <w:spacing w:line="276" w:lineRule="auto" w:after="120" w:before="0"/>
        <w:jc w:val="both"/>
      </w:pPr>
      <w:r>
        <w:rPr>
          <w:rFonts w:ascii="Times New Roman" w:hAnsi="Times New Roman"/>
          <w:color w:val="000000"/>
          <w:sz w:val="24"/>
        </w:rPr>
        <w:t>Under this baseline condition, the analog frontend, ADC, processor core, and communication peripherals operate continuously at full active power dissipation (nominally 150.0 mW). Data generation proceeds unabated at 32 kB/s (115.2 MB/hour), representing the upper bound of energy consumption, memory footprint, and data throughput. In addition, single-feature fixed energy threshold gating (representing conventional VAD) is utilized as a secondary baseline to evaluate detection sensitivity, leading-edge transient clipping, and false alarm rejection rates under matched acoustic and vibrational test signals.</w:t>
      </w:r>
    </w:p>
    <w:p>
      <w:r>
        <w:br w:type="page"/>
      </w:r>
    </w:p>
    <w:p>
      <w:pPr>
        <w:pStyle w:val="Heading1"/>
        <w:keepNext/>
        <w:spacing w:before="280" w:after="120" w:line="276" w:lineRule="auto"/>
        <w:jc w:val="left"/>
      </w:pPr>
      <w:r>
        <w:rPr>
          <w:rFonts w:ascii="Times New Roman" w:hAnsi="Times New Roman"/>
          <w:b/>
          <w:color w:val="000000"/>
          <w:sz w:val="30"/>
        </w:rPr>
        <w:t>Chapter 3 Methodology and System Design</w:t>
      </w:r>
    </w:p>
    <w:p>
      <w:pPr>
        <w:pStyle w:val="Heading2"/>
        <w:keepNext/>
        <w:spacing w:before="200" w:after="80" w:line="276" w:lineRule="auto"/>
        <w:jc w:val="left"/>
      </w:pPr>
      <w:r>
        <w:rPr>
          <w:rFonts w:ascii="Times New Roman" w:hAnsi="Times New Roman"/>
          <w:b/>
          <w:color w:val="000000"/>
          <w:sz w:val="26"/>
        </w:rPr>
        <w:t>3.1 Overall System Design</w:t>
      </w:r>
    </w:p>
    <w:p>
      <w:pPr>
        <w:spacing w:line="276" w:lineRule="auto" w:after="120" w:before="0"/>
        <w:jc w:val="both"/>
      </w:pPr>
      <w:r>
        <w:rPr>
          <w:rFonts w:ascii="Times New Roman" w:hAnsi="Times New Roman"/>
          <w:color w:val="000000"/>
          <w:sz w:val="24"/>
        </w:rPr>
        <w:t>The proposed Event-Selective Intelligent Sensing System is structured around an adaptive dual-mode operational architecture designed to maximize edge battery lifetime while guaranteeing lossless physical transient capture. Figure 3.1 illustrates the complete end-to-end system block diagram and the underlying 5-state finite state machine (FSM) transition dynamics.</w:t>
      </w:r>
    </w:p>
    <w:p>
      <w:pPr>
        <w:spacing w:before="160" w:after="80"/>
        <w:jc w:val="center"/>
      </w:pPr>
      <w:r>
        <w:drawing>
          <wp:inline xmlns:a="http://schemas.openxmlformats.org/drawingml/2006/main" xmlns:pic="http://schemas.openxmlformats.org/drawingml/2006/picture">
            <wp:extent cx="5669280" cy="4177364"/>
            <wp:docPr id="2" name="Picture 2"/>
            <wp:cNvGraphicFramePr>
              <a:graphicFrameLocks noChangeAspect="1"/>
            </wp:cNvGraphicFramePr>
            <a:graphic>
              <a:graphicData uri="http://schemas.openxmlformats.org/drawingml/2006/picture">
                <pic:pic>
                  <pic:nvPicPr>
                    <pic:cNvPr id="0" name="fig3_1_system_architecture.png"/>
                    <pic:cNvPicPr/>
                  </pic:nvPicPr>
                  <pic:blipFill>
                    <a:blip r:embed="rId11"/>
                    <a:stretch>
                      <a:fillRect/>
                    </a:stretch>
                  </pic:blipFill>
                  <pic:spPr>
                    <a:xfrm>
                      <a:off x="0" y="0"/>
                      <a:ext cx="5669280" cy="4177364"/>
                    </a:xfrm>
                    <a:prstGeom prst="rect"/>
                  </pic:spPr>
                </pic:pic>
              </a:graphicData>
            </a:graphic>
          </wp:inline>
        </w:drawing>
      </w:r>
    </w:p>
    <w:p>
      <w:pPr>
        <w:keepNext/>
        <w:spacing w:before="0" w:after="160"/>
        <w:jc w:val="center"/>
      </w:pPr>
      <w:r>
        <w:rPr>
          <w:rFonts w:ascii="Times New Roman" w:hAnsi="Times New Roman"/>
          <w:b/>
          <w:color w:val="142850"/>
          <w:sz w:val="20"/>
        </w:rPr>
        <w:t>Figure 3.1: System Block Diagram: Dual-Mode Event-Selective Architecture &amp; 5-State FSM</w:t>
      </w:r>
    </w:p>
    <w:p>
      <w:pPr>
        <w:spacing w:line="276" w:lineRule="auto" w:after="120" w:before="0"/>
        <w:jc w:val="both"/>
      </w:pPr>
      <w:r>
        <w:rPr>
          <w:rFonts w:ascii="Times New Roman" w:hAnsi="Times New Roman"/>
          <w:color w:val="000000"/>
          <w:sz w:val="24"/>
        </w:rPr>
        <w:t>As depicted in Figure 3.1, the physical signal is acquired by the multi-modal sensing interface, which supports acoustic microphones, piezoelectric vibration accelerometers, photodiode light sensors, thermal thermocouples, and video cameras. The core control logic is governed by an asynchronous 5-state finite state machine (FSM) implemented in the `EventStateMachine` class (`backend/app/services/event_service.py`). The five operational states and their precise behavioral rules are defined as follows:</w:t>
      </w:r>
    </w:p>
    <w:p>
      <w:pPr>
        <w:pStyle w:val="ListBullet"/>
        <w:spacing w:line="276" w:lineRule="auto" w:after="80" w:before="0"/>
        <w:jc w:val="both"/>
      </w:pPr>
      <w:r>
        <w:rPr>
          <w:rFonts w:ascii="Times New Roman" w:hAnsi="Times New Roman"/>
          <w:b/>
          <w:color w:val="000000"/>
          <w:sz w:val="24"/>
        </w:rPr>
        <w:t xml:space="preserve">1. </w:t>
      </w:r>
      <w:r>
        <w:rPr>
          <w:rFonts w:ascii="Times New Roman" w:hAnsi="Times New Roman"/>
          <w:color w:val="000000"/>
          <w:sz w:val="24"/>
        </w:rPr>
        <w:t>State 1: LOW_POWER_MONITORING. The system resides in this default quiescent standby state during background intervals. The primary high-resolution ADC, digital signal processor, and wireless transmitter are placed into deep low-power sleep modes, consuming a nominal system baseline power of P_standby = 5.0 mW. A dedicated ultra-low-power timer or DMA controller samples the analog transducer at a coarse downsampled rate or feeds raw samples into an in-memory circular ring buffer. A lightweight feature extraction routine executes every 50 ms to compute a fused event detection metric S(t). If S(t) remains below the primary trigger threshold T_th (nominally 0.15), the system remains indefinitely in State 1.</w:t>
      </w:r>
    </w:p>
    <w:p>
      <w:pPr>
        <w:pStyle w:val="ListBullet"/>
        <w:spacing w:line="276" w:lineRule="auto" w:after="80" w:before="0"/>
        <w:jc w:val="both"/>
      </w:pPr>
      <w:r>
        <w:rPr>
          <w:rFonts w:ascii="Times New Roman" w:hAnsi="Times New Roman"/>
          <w:b/>
          <w:color w:val="000000"/>
          <w:sz w:val="24"/>
        </w:rPr>
        <w:t xml:space="preserve">2. </w:t>
      </w:r>
      <w:r>
        <w:rPr>
          <w:rFonts w:ascii="Times New Roman" w:hAnsi="Times New Roman"/>
          <w:color w:val="000000"/>
          <w:sz w:val="24"/>
        </w:rPr>
        <w:t>State 2: EVENT_CANDIDATE. When the instantaneous fused event score crosses the trigger threshold (S(t) &gt;= T_th), the FSM immediately transitions to the EVENT_CANDIDATE state and starts an internal high-resolution debounce hardware timer. The candidate start timestamp t_candidate is recorded. The system remains in this probationary state for a calibrated debounce window of Delta_t_debounce = 100 ms. If the signal transient was merely an isolated Dirac impulse, static discharge, or random noise glitch, the score rapidly collapses below the hysteresis release threshold (S(t) &lt; 0.70 · T_th) before the 100 ms timer expires, prompting the FSM to discard the candidate and return immediately to State 1 with zero active burst energy wasted.</w:t>
      </w:r>
    </w:p>
    <w:p>
      <w:pPr>
        <w:pStyle w:val="ListBullet"/>
        <w:spacing w:line="276" w:lineRule="auto" w:after="80" w:before="0"/>
        <w:jc w:val="both"/>
      </w:pPr>
      <w:r>
        <w:rPr>
          <w:rFonts w:ascii="Times New Roman" w:hAnsi="Times New Roman"/>
          <w:b/>
          <w:color w:val="000000"/>
          <w:sz w:val="24"/>
        </w:rPr>
        <w:t xml:space="preserve">3. </w:t>
      </w:r>
      <w:r>
        <w:rPr>
          <w:rFonts w:ascii="Times New Roman" w:hAnsi="Times New Roman"/>
          <w:color w:val="000000"/>
          <w:sz w:val="24"/>
        </w:rPr>
        <w:t>State 3: EVENT_CONFIRMED. If the fused event score remains continuously elevated above 0.70 · T_th throughout the entire 100 ms debounce duration (t - t_candidate &gt;= 100 ms), the physical event is officially confirmed as a genuine non-stationary physical occurrence. The FSM transitions to EVENT_CONFIRMED, instantiates a unique universal event identifier (UUID4), logs the event start timestamp, freezes the pre-event window in the circular ring buffer, and asserts hardware wake-up interrupt lines to power up the high-resolution burst acquisition subsystem.</w:t>
      </w:r>
    </w:p>
    <w:p>
      <w:pPr>
        <w:pStyle w:val="ListBullet"/>
        <w:spacing w:line="276" w:lineRule="auto" w:after="80" w:before="0"/>
        <w:jc w:val="both"/>
      </w:pPr>
      <w:r>
        <w:rPr>
          <w:rFonts w:ascii="Times New Roman" w:hAnsi="Times New Roman"/>
          <w:b/>
          <w:color w:val="000000"/>
          <w:sz w:val="24"/>
        </w:rPr>
        <w:t xml:space="preserve">4. </w:t>
      </w:r>
      <w:r>
        <w:rPr>
          <w:rFonts w:ascii="Times New Roman" w:hAnsi="Times New Roman"/>
          <w:color w:val="000000"/>
          <w:sz w:val="24"/>
        </w:rPr>
        <w:t>State 4: HIGH_RESOLUTION_RECORDING. In this state, the system transitions to full active burst mode, dissipating P_active = 150.0 mW. The primary ADC operates at its maximum Nyquist sampling rate (e.g., 16 kHz for audio, 10 kHz for vibration). The pre-event circular buffer contents (spanning the preceding 2.0 seconds) are seamlessly prepended to the live data stream, ensuring complete preservation of the attack phase. The high-resolution samples are simultaneously written to the persistent local database and transmitted across a 20 Hz real-time WebSocket connection to the monitoring dashboard.</w:t>
      </w:r>
    </w:p>
    <w:p>
      <w:pPr>
        <w:pStyle w:val="ListBullet"/>
        <w:spacing w:line="276" w:lineRule="auto" w:after="80" w:before="0"/>
        <w:jc w:val="both"/>
      </w:pPr>
      <w:r>
        <w:rPr>
          <w:rFonts w:ascii="Times New Roman" w:hAnsi="Times New Roman"/>
          <w:b/>
          <w:color w:val="000000"/>
          <w:sz w:val="24"/>
        </w:rPr>
        <w:t xml:space="preserve">5. </w:t>
      </w:r>
      <w:r>
        <w:rPr>
          <w:rFonts w:ascii="Times New Roman" w:hAnsi="Times New Roman"/>
          <w:color w:val="000000"/>
          <w:sz w:val="24"/>
        </w:rPr>
        <w:t>State 5: POST_EVENT_RECORDING. When the physical event subsides and the fused score drops below the hysteresis release threshold (S(t) &lt; 0.70 · T_th), the system does not immediately cut off acquisition. Instead, it enters POST_EVENT_RECORDING for an empirical cooldown duration of Delta_t_post = 1.0 second. This post-buffer window captures the decaying reverberation tail, acoustic decay, or mechanical ring-down of the event. Once the 1.0-second timer elapses, the complete event payload (pre-event context + active duration + post-event tail) is committed to storage, the high-power ADC is powered down, and the FSM gracefully returns to State 1.</w:t>
      </w:r>
    </w:p>
    <w:p>
      <w:pPr>
        <w:spacing w:before="160" w:after="80"/>
        <w:jc w:val="center"/>
      </w:pPr>
      <w:r>
        <w:drawing>
          <wp:inline xmlns:a="http://schemas.openxmlformats.org/drawingml/2006/main" xmlns:pic="http://schemas.openxmlformats.org/drawingml/2006/picture">
            <wp:extent cx="5669280" cy="2645664"/>
            <wp:docPr id="3" name="Picture 3"/>
            <wp:cNvGraphicFramePr>
              <a:graphicFrameLocks noChangeAspect="1"/>
            </wp:cNvGraphicFramePr>
            <a:graphic>
              <a:graphicData uri="http://schemas.openxmlformats.org/drawingml/2006/picture">
                <pic:pic>
                  <pic:nvPicPr>
                    <pic:cNvPr id="0" name="fig3_2_power_timing.png"/>
                    <pic:cNvPicPr/>
                  </pic:nvPicPr>
                  <pic:blipFill>
                    <a:blip r:embed="rId12"/>
                    <a:stretch>
                      <a:fillRect/>
                    </a:stretch>
                  </pic:blipFill>
                  <pic:spPr>
                    <a:xfrm>
                      <a:off x="0" y="0"/>
                      <a:ext cx="5669280" cy="2645664"/>
                    </a:xfrm>
                    <a:prstGeom prst="rect"/>
                  </pic:spPr>
                </pic:pic>
              </a:graphicData>
            </a:graphic>
          </wp:inline>
        </w:drawing>
      </w:r>
    </w:p>
    <w:p>
      <w:pPr>
        <w:keepNext/>
        <w:spacing w:before="0" w:after="160"/>
        <w:jc w:val="center"/>
      </w:pPr>
      <w:r>
        <w:rPr>
          <w:rFonts w:ascii="Times New Roman" w:hAnsi="Times New Roman"/>
          <w:b/>
          <w:color w:val="142850"/>
          <w:sz w:val="20"/>
        </w:rPr>
        <w:t>Figure 3.2: Dual-Mode Power Scheduling and Pre/Post-Event Buffer Windows</w:t>
      </w:r>
    </w:p>
    <w:p>
      <w:pPr>
        <w:spacing w:line="276" w:lineRule="auto" w:after="120" w:before="0"/>
        <w:jc w:val="both"/>
      </w:pPr>
      <w:r>
        <w:rPr>
          <w:rFonts w:ascii="Times New Roman" w:hAnsi="Times New Roman"/>
          <w:color w:val="000000"/>
          <w:sz w:val="24"/>
        </w:rPr>
        <w:t>Figure 3.2 provides the corresponding power dissipation trajectory and buffer windowing diagram over a representative 10-second operational sequence. During the initial 4.0 seconds of baseline monitoring, the system draws only 5.0 mW while continuously overwriting its 2.0-second circular ring buffer in SRAM. When the physical event initiates at t = 4.0 s, the system elevates to 150.0 mW active recording, capturing the event until t = 6.5 s, followed by the 1.0-second post-event cooldown margin up to t = 7.5 s, before dropping back to 5.0 mW. This dual-mode duty-cycled scheduling drastically minimizes cumulative power consumption while eliminating data loss.</w:t>
      </w:r>
    </w:p>
    <w:p>
      <w:pPr>
        <w:pStyle w:val="Heading2"/>
        <w:keepNext/>
        <w:spacing w:before="200" w:after="80" w:line="276" w:lineRule="auto"/>
        <w:jc w:val="left"/>
      </w:pPr>
      <w:r>
        <w:rPr>
          <w:rFonts w:ascii="Times New Roman" w:hAnsi="Times New Roman"/>
          <w:b/>
          <w:color w:val="000000"/>
          <w:sz w:val="26"/>
        </w:rPr>
        <w:t>3.2 Signal or Dataset Description</w:t>
      </w:r>
    </w:p>
    <w:p>
      <w:pPr>
        <w:spacing w:line="276" w:lineRule="auto" w:after="120" w:before="0"/>
        <w:jc w:val="both"/>
      </w:pPr>
      <w:r>
        <w:rPr>
          <w:rFonts w:ascii="Times New Roman" w:hAnsi="Times New Roman"/>
          <w:color w:val="000000"/>
          <w:sz w:val="24"/>
        </w:rPr>
        <w:t>To rigorously evaluate the system across heterogeneous physical domains, the signal processing pipeline supports five distinct signal generation models implemented in the `app/simulation/` suite:</w:t>
      </w:r>
    </w:p>
    <w:p>
      <w:pPr>
        <w:pStyle w:val="ListBullet"/>
        <w:spacing w:line="276" w:lineRule="auto" w:after="80" w:before="0"/>
        <w:jc w:val="both"/>
      </w:pPr>
      <w:r>
        <w:rPr>
          <w:rFonts w:ascii="Times New Roman" w:hAnsi="Times New Roman"/>
          <w:b/>
          <w:color w:val="000000"/>
          <w:sz w:val="24"/>
        </w:rPr>
        <w:t xml:space="preserve">1. Acoustic Modality: </w:t>
      </w:r>
      <w:r>
        <w:rPr>
          <w:rFonts w:ascii="Times New Roman" w:hAnsi="Times New Roman"/>
          <w:color w:val="000000"/>
          <w:sz w:val="24"/>
        </w:rPr>
        <w:t>Acoustic Speech and Transient Signals (audio.py): Synthesizes baseband audio sampled at f_s = 16,000 Hz with 16-bit resolution. Quiescent intervals model ambient acoustic background using Gaussian white noise (sigma = 0.05 V) combined with low-frequency room reverberation. Acoustic events inject speech bursts modeled as multi-harmonic acoustic formants at fundamental frequencies f_0 = 120 Hz with dominant formants at 320 Hz, 640 Hz, 1280 Hz, and 2400 Hz, modulated by an asymmetric exponential attack-decay temporal envelope.</w:t>
      </w:r>
    </w:p>
    <w:p>
      <w:pPr>
        <w:pStyle w:val="ListBullet"/>
        <w:spacing w:line="276" w:lineRule="auto" w:after="80" w:before="0"/>
        <w:jc w:val="both"/>
      </w:pPr>
      <w:r>
        <w:rPr>
          <w:rFonts w:ascii="Times New Roman" w:hAnsi="Times New Roman"/>
          <w:b/>
          <w:color w:val="000000"/>
          <w:sz w:val="24"/>
        </w:rPr>
        <w:t xml:space="preserve">2. Vibration Modality: </w:t>
      </w:r>
      <w:r>
        <w:rPr>
          <w:rFonts w:ascii="Times New Roman" w:hAnsi="Times New Roman"/>
          <w:color w:val="000000"/>
          <w:sz w:val="24"/>
        </w:rPr>
        <w:t>Mechanical Vibration and Impact Signals (vibration.py): Models industrial machinery vibrations sampled at f_s = 10,000 Hz. The stationary baseline represents normal rotating motor operation, comprising fundamental rotational shaft frequencies (50 Hz and harmonics) with moderate Gaussian background noise. Anomalous impact events inject high-amplitude transient shock pulses with peak accelerations up to 5.0 g, exhibiting sharp rise times (&lt;2 ms) and exponentially damped sinusoidal oscillations characteristic of bearing faults or mechanical collisions.</w:t>
      </w:r>
    </w:p>
    <w:p>
      <w:pPr>
        <w:pStyle w:val="ListBullet"/>
        <w:spacing w:line="276" w:lineRule="auto" w:after="80" w:before="0"/>
        <w:jc w:val="both"/>
      </w:pPr>
      <w:r>
        <w:rPr>
          <w:rFonts w:ascii="Times New Roman" w:hAnsi="Times New Roman"/>
          <w:b/>
          <w:color w:val="000000"/>
          <w:sz w:val="24"/>
        </w:rPr>
        <w:t xml:space="preserve">3. Video Modality: </w:t>
      </w:r>
      <w:r>
        <w:rPr>
          <w:rFonts w:ascii="Times New Roman" w:hAnsi="Times New Roman"/>
          <w:color w:val="000000"/>
          <w:sz w:val="24"/>
        </w:rPr>
        <w:t>Video Motion and Optical Sequences (video.py): Generates synthetic 640x480 grayscale video frames at 30 frames per second. Background frames model static or slowly varying ambient illumination with camera sensor readout noise. Motion events simulate localized moving objects (e.g., human movement, moving machinery) with configurable bounding box velocities and spatial Gaussian intensity profiles.</w:t>
      </w:r>
    </w:p>
    <w:p>
      <w:pPr>
        <w:pStyle w:val="ListBullet"/>
        <w:spacing w:line="276" w:lineRule="auto" w:after="80" w:before="0"/>
        <w:jc w:val="both"/>
      </w:pPr>
      <w:r>
        <w:rPr>
          <w:rFonts w:ascii="Times New Roman" w:hAnsi="Times New Roman"/>
          <w:b/>
          <w:color w:val="000000"/>
          <w:sz w:val="24"/>
        </w:rPr>
        <w:t xml:space="preserve">4. Environmental Modalities: </w:t>
      </w:r>
      <w:r>
        <w:rPr>
          <w:rFonts w:ascii="Times New Roman" w:hAnsi="Times New Roman"/>
          <w:color w:val="000000"/>
          <w:sz w:val="24"/>
        </w:rPr>
        <w:t>Thermal and Optical Telemetry (temperature.py, light.py): Models low-bandwidth physical processes sampled at 100 Hz. Ambient temperature simulates slow diurnal thermal drift with Gaussian jitter, while thermal events simulate rapid step-spikes (+15 °C to +35 °C) modeling overheating conditions. Ambient light simulates constant lux levels interrupted by rapid shadow steps or high-frequency optical flicker.</w:t>
      </w:r>
    </w:p>
    <w:p>
      <w:pPr>
        <w:pStyle w:val="Heading2"/>
        <w:keepNext/>
        <w:spacing w:before="200" w:after="80" w:line="276" w:lineRule="auto"/>
        <w:jc w:val="left"/>
      </w:pPr>
      <w:r>
        <w:rPr>
          <w:rFonts w:ascii="Times New Roman" w:hAnsi="Times New Roman"/>
          <w:b/>
          <w:color w:val="000000"/>
          <w:sz w:val="26"/>
        </w:rPr>
        <w:t>3.3 Preprocessing Pipeline</w:t>
      </w:r>
    </w:p>
    <w:p>
      <w:pPr>
        <w:spacing w:line="276" w:lineRule="auto" w:after="120" w:before="0"/>
        <w:jc w:val="both"/>
      </w:pPr>
      <w:r>
        <w:rPr>
          <w:rFonts w:ascii="Times New Roman" w:hAnsi="Times New Roman"/>
          <w:color w:val="000000"/>
          <w:sz w:val="24"/>
        </w:rPr>
        <w:t>Prior to feature extraction, raw digitized sensor samples undergo a multi-stage conditioning pipeline implemented in `app/processing/preprocessing.py` to eliminate analog DC bias, suppress out-of-band interference, and normalize dynamic range across varying sensor transducers:</w:t>
      </w:r>
    </w:p>
    <w:p>
      <w:pPr>
        <w:spacing w:line="276" w:lineRule="auto" w:after="120" w:before="0"/>
        <w:jc w:val="both"/>
      </w:pPr>
      <w:r>
        <w:rPr>
          <w:rFonts w:ascii="Times New Roman" w:hAnsi="Times New Roman"/>
          <w:color w:val="000000"/>
          <w:sz w:val="24"/>
        </w:rPr>
        <w:t>Stage 1: DC Bias and Mean Removal. Analog frontends frequently introduce static DC voltage offsets caused by single-supply biasing or operational amplifier input offsets. For a sliding analysis window of W samples, the local DC bias is estimated and subtracted according to:</w:t>
      </w:r>
    </w:p>
    <w:p>
      <w:pPr>
        <w:spacing w:line="276" w:lineRule="auto" w:before="120" w:after="120"/>
        <w:jc w:val="center"/>
      </w:pPr>
      <w:r>
        <w:rPr>
          <w:rFonts w:ascii="Times New Roman" w:hAnsi="Times New Roman"/>
          <w:b/>
          <w:i/>
          <w:sz w:val="24"/>
        </w:rPr>
        <w:t>x_clean[n] = x[n] - (1 / W) * sum_{k=0}^{W-1} x[n-k]</w:t>
      </w:r>
      <w:r>
        <w:rPr>
          <w:rFonts w:ascii="Times New Roman" w:hAnsi="Times New Roman"/>
          <w:b w:val="0"/>
          <w:i w:val="0"/>
          <w:sz w:val="22"/>
        </w:rPr>
        <w:t xml:space="preserve">    (3.1)</w:t>
      </w:r>
    </w:p>
    <w:p>
      <w:pPr>
        <w:spacing w:line="276" w:lineRule="auto" w:after="120" w:before="0"/>
        <w:jc w:val="both"/>
      </w:pPr>
      <w:r>
        <w:rPr>
          <w:rFonts w:ascii="Times New Roman" w:hAnsi="Times New Roman"/>
          <w:color w:val="000000"/>
          <w:sz w:val="24"/>
        </w:rPr>
        <w:t>Stage 2: Digital Bandpass Filtering. To isolate relevant signal frequencies and eliminate high-frequency thermal noise and low-frequency mechanical drift, a 4th-order digital Butterworth Infinite Impulse Response (IIR) bandpass filter is deployed. For acoustic modalities, the passband is configured between f_low = 100 Hz and f_high = 4,000 Hz. The filter transfer function in the z-domain is given by:</w:t>
      </w:r>
    </w:p>
    <w:p>
      <w:pPr>
        <w:spacing w:line="276" w:lineRule="auto" w:before="120" w:after="120"/>
        <w:jc w:val="center"/>
      </w:pPr>
      <w:r>
        <w:rPr>
          <w:rFonts w:ascii="Times New Roman" w:hAnsi="Times New Roman"/>
          <w:b/>
          <w:i/>
          <w:sz w:val="24"/>
        </w:rPr>
        <w:t>H(z) = (sum_{k=0}^M b_k * z^{-k}) / (1 + sum_{k=1}^N a_k * z^{-k})</w:t>
      </w:r>
      <w:r>
        <w:rPr>
          <w:rFonts w:ascii="Times New Roman" w:hAnsi="Times New Roman"/>
          <w:b w:val="0"/>
          <w:i w:val="0"/>
          <w:sz w:val="22"/>
        </w:rPr>
        <w:t xml:space="preserve">    (3.2)</w:t>
      </w:r>
    </w:p>
    <w:p>
      <w:pPr>
        <w:spacing w:line="276" w:lineRule="auto" w:after="120" w:before="0"/>
        <w:jc w:val="both"/>
      </w:pPr>
      <w:r>
        <w:rPr>
          <w:rFonts w:ascii="Times New Roman" w:hAnsi="Times New Roman"/>
          <w:color w:val="000000"/>
          <w:sz w:val="24"/>
        </w:rPr>
        <w:t>where the filter coefficients a_k and b_k are computed via bilinear transformation to ensure maximally flat passband magnitude response and steep stopband roll-off (-24 dB/octave).</w:t>
      </w:r>
    </w:p>
    <w:p>
      <w:pPr>
        <w:spacing w:line="276" w:lineRule="auto" w:after="120" w:before="0"/>
        <w:jc w:val="both"/>
      </w:pPr>
      <w:r>
        <w:rPr>
          <w:rFonts w:ascii="Times New Roman" w:hAnsi="Times New Roman"/>
          <w:color w:val="000000"/>
          <w:sz w:val="24"/>
        </w:rPr>
        <w:t>Stage 3: Sliding-Window Standardization. To make downstream detection thresholds sensor-invariant, normalized z-score standardization is applied using baseline running mean mu_b and running standard deviation sigma_b updated exclusively during State 1:</w:t>
      </w:r>
    </w:p>
    <w:p>
      <w:pPr>
        <w:spacing w:line="276" w:lineRule="auto" w:before="120" w:after="120"/>
        <w:jc w:val="center"/>
      </w:pPr>
      <w:r>
        <w:rPr>
          <w:rFonts w:ascii="Times New Roman" w:hAnsi="Times New Roman"/>
          <w:b/>
          <w:i/>
          <w:sz w:val="24"/>
        </w:rPr>
        <w:t>x_norm[n] = (x_clean[n] - mu_b) / (sigma_b + epsilon)</w:t>
      </w:r>
      <w:r>
        <w:rPr>
          <w:rFonts w:ascii="Times New Roman" w:hAnsi="Times New Roman"/>
          <w:b w:val="0"/>
          <w:i w:val="0"/>
          <w:sz w:val="22"/>
        </w:rPr>
        <w:t xml:space="preserve">    (3.3)</w:t>
      </w:r>
    </w:p>
    <w:p>
      <w:pPr>
        <w:spacing w:line="276" w:lineRule="auto" w:after="120" w:before="0"/>
        <w:jc w:val="both"/>
      </w:pPr>
      <w:r>
        <w:rPr>
          <w:rFonts w:ascii="Times New Roman" w:hAnsi="Times New Roman"/>
          <w:color w:val="000000"/>
          <w:sz w:val="24"/>
        </w:rPr>
        <w:t>where epsilon = 1e-6 prevents division by zero in noise-free numerical simulations.</w:t>
      </w:r>
    </w:p>
    <w:p>
      <w:pPr>
        <w:pStyle w:val="Heading2"/>
        <w:keepNext/>
        <w:spacing w:before="200" w:after="80" w:line="276" w:lineRule="auto"/>
        <w:jc w:val="left"/>
      </w:pPr>
      <w:r>
        <w:rPr>
          <w:rFonts w:ascii="Times New Roman" w:hAnsi="Times New Roman"/>
          <w:b/>
          <w:color w:val="000000"/>
          <w:sz w:val="26"/>
        </w:rPr>
        <w:t>3.4 Signal Processing Techniques &amp; Mathematical Formulations</w:t>
      </w:r>
    </w:p>
    <w:p>
      <w:pPr>
        <w:spacing w:line="276" w:lineRule="auto" w:after="120" w:before="0"/>
        <w:jc w:val="both"/>
      </w:pPr>
      <w:r>
        <w:rPr>
          <w:rFonts w:ascii="Times New Roman" w:hAnsi="Times New Roman"/>
          <w:color w:val="000000"/>
          <w:sz w:val="24"/>
        </w:rPr>
        <w:t>To achieve resilient detection without relying on a single fallible metric, the system implements a multi-feature fusion architecture combining six complementary signal processing algorithms. Table 3.1 summarizes the mathematical formulations, operational domains, and computational complexities of each extracted feature.</w:t>
      </w:r>
    </w:p>
    <w:tbl>
      <w:tblPr>
        <w:tblStyle w:val="TableGrid"/>
        <w:tblW w:type="auto" w:w="0"/>
        <w:jc w:val="center"/>
        <w:tblLook w:firstColumn="1" w:firstRow="1" w:lastColumn="0" w:lastRow="0" w:noHBand="0" w:noVBand="1" w:val="04A0"/>
      </w:tblPr>
      <w:tblGrid>
        <w:gridCol w:w="1886"/>
        <w:gridCol w:w="1886"/>
        <w:gridCol w:w="1886"/>
        <w:gridCol w:w="1886"/>
        <w:gridCol w:w="1886"/>
      </w:tblGrid>
      <w:tr>
        <w:trPr>
          <w:tblHeader/>
        </w:trPr>
        <w:tc>
          <w:tcPr>
            <w:tcW w:type="dxa" w:w="1872"/>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Feature Name</w:t>
            </w:r>
          </w:p>
        </w:tc>
        <w:tc>
          <w:tcPr>
            <w:tcW w:type="dxa" w:w="1152"/>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Domain</w:t>
            </w:r>
          </w:p>
        </w:tc>
        <w:tc>
          <w:tcPr>
            <w:tcW w:type="dxa" w:w="3024"/>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Mathematical Formulation</w:t>
            </w:r>
          </w:p>
        </w:tc>
        <w:tc>
          <w:tcPr>
            <w:tcW w:type="dxa" w:w="2016"/>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Physical Significance</w:t>
            </w:r>
          </w:p>
        </w:tc>
        <w:tc>
          <w:tcPr>
            <w:tcW w:type="dxa" w:w="1152"/>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Complexity</w:t>
            </w:r>
          </w:p>
        </w:tc>
      </w:tr>
      <w:tr>
        <w:tc>
          <w:tcPr>
            <w:tcW w:type="dxa" w:w="1872"/>
            <w:tcMar>
              <w:top w:w="100" w:type="dxa"/>
              <w:bottom w:w="100" w:type="dxa"/>
              <w:left w:w="130" w:type="dxa"/>
              <w:right w:w="130" w:type="dxa"/>
            </w:tcMar>
          </w:tcPr>
          <w:p>
            <w:pPr>
              <w:spacing w:line="252" w:lineRule="auto" w:before="0" w:after="0"/>
              <w:jc w:val="left"/>
            </w:pPr>
            <w:r>
              <w:rPr>
                <w:rFonts w:ascii="Times New Roman" w:hAnsi="Times New Roman"/>
                <w:color w:val="141414"/>
                <w:sz w:val="19"/>
              </w:rPr>
              <w:t>Short-Term Energy</w:t>
              <w:br/>
              <w:t>(STE)</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Time</w:t>
            </w:r>
          </w:p>
        </w:tc>
        <w:tc>
          <w:tcPr>
            <w:tcW w:type="dxa" w:w="30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E_n = (1/N) * sum_{k=0}^{N-1} x²[n-k]</w:t>
            </w:r>
          </w:p>
        </w:tc>
        <w:tc>
          <w:tcPr>
            <w:tcW w:type="dxa" w:w="2016"/>
            <w:tcMar>
              <w:top w:w="100" w:type="dxa"/>
              <w:bottom w:w="100" w:type="dxa"/>
              <w:left w:w="130" w:type="dxa"/>
              <w:right w:w="130" w:type="dxa"/>
            </w:tcMar>
          </w:tcPr>
          <w:p>
            <w:pPr>
              <w:spacing w:line="252" w:lineRule="auto" w:before="0" w:after="0"/>
              <w:jc w:val="left"/>
            </w:pPr>
            <w:r>
              <w:rPr>
                <w:rFonts w:ascii="Times New Roman" w:hAnsi="Times New Roman"/>
                <w:color w:val="141414"/>
                <w:sz w:val="19"/>
              </w:rPr>
              <w:t>Measures instantaneous signal power</w:t>
              <w:br/>
              <w:t>and transient energy surges</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O(N)</w:t>
            </w:r>
          </w:p>
        </w:tc>
      </w:tr>
      <w:tr>
        <w:tc>
          <w:tcPr>
            <w:tcW w:type="dxa" w:w="187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Root-Mean-Square</w:t>
              <w:br/>
              <w:t>(RMS)</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Time</w:t>
            </w:r>
          </w:p>
        </w:tc>
        <w:tc>
          <w:tcPr>
            <w:tcW w:type="dxa" w:w="30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x_rms = sqrt((1/N) * sum x²[k])</w:t>
            </w:r>
          </w:p>
        </w:tc>
        <w:tc>
          <w:tcPr>
            <w:tcW w:type="dxa" w:w="201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Reflects true effective signal amplitude</w:t>
              <w:br/>
              <w:t>and continuous power level</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O(N)</w:t>
            </w:r>
          </w:p>
        </w:tc>
      </w:tr>
      <w:tr>
        <w:tc>
          <w:tcPr>
            <w:tcW w:type="dxa" w:w="1872"/>
            <w:tcMar>
              <w:top w:w="100" w:type="dxa"/>
              <w:bottom w:w="100" w:type="dxa"/>
              <w:left w:w="130" w:type="dxa"/>
              <w:right w:w="130" w:type="dxa"/>
            </w:tcMar>
          </w:tcPr>
          <w:p>
            <w:pPr>
              <w:spacing w:line="252" w:lineRule="auto" w:before="0" w:after="0"/>
              <w:jc w:val="left"/>
            </w:pPr>
            <w:r>
              <w:rPr>
                <w:rFonts w:ascii="Times New Roman" w:hAnsi="Times New Roman"/>
                <w:color w:val="141414"/>
                <w:sz w:val="19"/>
              </w:rPr>
              <w:t>Discrete Max Slope</w:t>
              <w:br/>
              <w:t>(Slope)</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Time</w:t>
            </w:r>
          </w:p>
        </w:tc>
        <w:tc>
          <w:tcPr>
            <w:tcW w:type="dxa" w:w="30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S_max = max |(x[k] - x[k-1]) / Delta_t|</w:t>
            </w:r>
          </w:p>
        </w:tc>
        <w:tc>
          <w:tcPr>
            <w:tcW w:type="dxa" w:w="2016"/>
            <w:tcMar>
              <w:top w:w="100" w:type="dxa"/>
              <w:bottom w:w="100" w:type="dxa"/>
              <w:left w:w="130" w:type="dxa"/>
              <w:right w:w="130" w:type="dxa"/>
            </w:tcMar>
          </w:tcPr>
          <w:p>
            <w:pPr>
              <w:spacing w:line="252" w:lineRule="auto" w:before="0" w:after="0"/>
              <w:jc w:val="left"/>
            </w:pPr>
            <w:r>
              <w:rPr>
                <w:rFonts w:ascii="Times New Roman" w:hAnsi="Times New Roman"/>
                <w:color w:val="141414"/>
                <w:sz w:val="19"/>
              </w:rPr>
              <w:t>Captures impulsive rise-times,</w:t>
              <w:br/>
              <w:t>shocks, and attack edges</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O(N)</w:t>
            </w:r>
          </w:p>
        </w:tc>
      </w:tr>
      <w:tr>
        <w:tc>
          <w:tcPr>
            <w:tcW w:type="dxa" w:w="187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STFT Spectral Band</w:t>
              <w:br/>
              <w:t>Energy (Band)</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Frequency</w:t>
            </w:r>
          </w:p>
        </w:tc>
        <w:tc>
          <w:tcPr>
            <w:tcW w:type="dxa" w:w="30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E_band = sum_{k in K_band} |X[k]|²</w:t>
            </w:r>
          </w:p>
        </w:tc>
        <w:tc>
          <w:tcPr>
            <w:tcW w:type="dxa" w:w="201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Isolates energy within diagnostic</w:t>
              <w:br/>
              <w:t>formant and harmonic bands</w:t>
            </w:r>
          </w:p>
        </w:tc>
        <w:tc>
          <w:tcPr>
            <w:tcW w:type="dxa" w:w="115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O(N log N)</w:t>
            </w:r>
          </w:p>
        </w:tc>
      </w:tr>
      <w:tr>
        <w:tc>
          <w:tcPr>
            <w:tcW w:type="dxa" w:w="1872"/>
            <w:tcMar>
              <w:top w:w="100" w:type="dxa"/>
              <w:bottom w:w="100" w:type="dxa"/>
              <w:left w:w="130" w:type="dxa"/>
              <w:right w:w="130" w:type="dxa"/>
            </w:tcMar>
          </w:tcPr>
          <w:p>
            <w:pPr>
              <w:spacing w:line="252" w:lineRule="auto" w:before="0" w:after="0"/>
              <w:jc w:val="left"/>
            </w:pPr>
            <w:r>
              <w:rPr>
                <w:rFonts w:ascii="Times New Roman" w:hAnsi="Times New Roman"/>
                <w:color w:val="141414"/>
                <w:sz w:val="19"/>
              </w:rPr>
              <w:t>Spectral Centroid</w:t>
              <w:br/>
              <w:t>(Centroid)</w:t>
            </w:r>
          </w:p>
        </w:tc>
        <w:tc>
          <w:tcPr>
            <w:tcW w:type="dxa" w:w="1152"/>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Frequency</w:t>
            </w:r>
          </w:p>
        </w:tc>
        <w:tc>
          <w:tcPr>
            <w:tcW w:type="dxa" w:w="3024"/>
            <w:tcMar>
              <w:top w:w="100" w:type="dxa"/>
              <w:bottom w:w="100" w:type="dxa"/>
              <w:left w:w="130" w:type="dxa"/>
              <w:right w:w="130" w:type="dxa"/>
            </w:tcMar>
          </w:tcPr>
          <w:p>
            <w:pPr>
              <w:spacing w:line="252" w:lineRule="auto" w:before="0" w:after="0"/>
              <w:jc w:val="left"/>
            </w:pPr>
            <w:r>
              <w:rPr>
                <w:rFonts w:ascii="Times New Roman" w:hAnsi="Times New Roman"/>
                <w:color w:val="141414"/>
                <w:sz w:val="19"/>
              </w:rPr>
              <w:t>C_s = (sum f_k |X[k]|) / (sum |X[k]|)</w:t>
            </w:r>
          </w:p>
        </w:tc>
        <w:tc>
          <w:tcPr>
            <w:tcW w:type="dxa" w:w="2016"/>
            <w:tcMar>
              <w:top w:w="100" w:type="dxa"/>
              <w:bottom w:w="100" w:type="dxa"/>
              <w:left w:w="130" w:type="dxa"/>
              <w:right w:w="130" w:type="dxa"/>
            </w:tcMar>
          </w:tcPr>
          <w:p>
            <w:pPr>
              <w:spacing w:line="252" w:lineRule="auto" w:before="0" w:after="0"/>
              <w:jc w:val="left"/>
            </w:pPr>
            <w:r>
              <w:rPr>
                <w:rFonts w:ascii="Times New Roman" w:hAnsi="Times New Roman"/>
                <w:color w:val="141414"/>
                <w:sz w:val="19"/>
              </w:rPr>
              <w:t>Measures spectral center of mass;</w:t>
              <w:br/>
              <w:t>detects frequency upward shifts</w:t>
            </w:r>
          </w:p>
        </w:tc>
        <w:tc>
          <w:tcPr>
            <w:tcW w:type="dxa" w:w="1152"/>
            <w:tcMar>
              <w:top w:w="100" w:type="dxa"/>
              <w:bottom w:w="100" w:type="dxa"/>
              <w:left w:w="130" w:type="dxa"/>
              <w:right w:w="130" w:type="dxa"/>
            </w:tcMar>
          </w:tcPr>
          <w:p>
            <w:pPr>
              <w:spacing w:line="252" w:lineRule="auto" w:before="0" w:after="0"/>
              <w:jc w:val="left"/>
            </w:pPr>
            <w:r>
              <w:rPr>
                <w:rFonts w:ascii="Times New Roman" w:hAnsi="Times New Roman"/>
                <w:color w:val="141414"/>
                <w:sz w:val="19"/>
              </w:rPr>
              <w:t>O(N log N)</w:t>
            </w:r>
          </w:p>
        </w:tc>
      </w:tr>
      <w:tr>
        <w:tc>
          <w:tcPr>
            <w:tcW w:type="dxa" w:w="187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Z-Score Change-Point</w:t>
              <w:br/>
              <w:t>(Z-Score)</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Statistical</w:t>
            </w:r>
          </w:p>
        </w:tc>
        <w:tc>
          <w:tcPr>
            <w:tcW w:type="dxa" w:w="302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z[n] = |x[n] - mu_w| / sigma_w</w:t>
            </w:r>
          </w:p>
        </w:tc>
        <w:tc>
          <w:tcPr>
            <w:tcW w:type="dxa" w:w="201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Detects abrupt distribution shifts and</w:t>
              <w:br/>
              <w:t>statistical variance anomalies</w:t>
            </w:r>
          </w:p>
        </w:tc>
        <w:tc>
          <w:tcPr>
            <w:tcW w:type="dxa" w:w="115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O(N)</w:t>
            </w:r>
          </w:p>
        </w:tc>
      </w:tr>
    </w:tbl>
    <w:p>
      <w:pPr>
        <w:spacing w:before="0" w:after="120"/>
      </w:pPr>
    </w:p>
    <w:p>
      <w:pPr>
        <w:spacing w:line="276" w:lineRule="auto" w:after="120" w:before="0"/>
        <w:jc w:val="both"/>
      </w:pPr>
      <w:r>
        <w:rPr>
          <w:rFonts w:ascii="Times New Roman" w:hAnsi="Times New Roman"/>
          <w:color w:val="000000"/>
          <w:sz w:val="24"/>
        </w:rPr>
        <w:t>Multi-Feature Fusion Formulation: The individual feature values are extracted from each sliding analysis window of length N = 256 samples (16 ms at 16 kHz). To combine these heterogeneous physical quantities (amplitudes, slopes, spectral powers) into a unified decision metric, each feature F_i is normalized by its running baseline mean mu_{F_i} and standard deviation sigma_{F_i}, bounded to [0, 1] via sigmoid or min-max mapping, and combined via a weighted convex sum:</w:t>
      </w:r>
    </w:p>
    <w:p>
      <w:pPr>
        <w:spacing w:line="276" w:lineRule="auto" w:before="120" w:after="120"/>
        <w:jc w:val="center"/>
      </w:pPr>
      <w:r>
        <w:rPr>
          <w:rFonts w:ascii="Times New Roman" w:hAnsi="Times New Roman"/>
          <w:b/>
          <w:i/>
          <w:sz w:val="24"/>
        </w:rPr>
        <w:t>S_event(t) = sum_{i=1}^{M} w_i * hat{F}_i(t)</w:t>
      </w:r>
      <w:r>
        <w:rPr>
          <w:rFonts w:ascii="Times New Roman" w:hAnsi="Times New Roman"/>
          <w:b w:val="0"/>
          <w:i w:val="0"/>
          <w:sz w:val="22"/>
        </w:rPr>
        <w:t xml:space="preserve">    (3.4)</w:t>
      </w:r>
    </w:p>
    <w:p>
      <w:pPr>
        <w:spacing w:line="276" w:lineRule="auto" w:after="120" w:before="0"/>
        <w:jc w:val="both"/>
      </w:pPr>
      <w:r>
        <w:rPr>
          <w:rFonts w:ascii="Times New Roman" w:hAnsi="Times New Roman"/>
          <w:color w:val="000000"/>
          <w:sz w:val="24"/>
        </w:rPr>
        <w:t>where M = 6, hat{F}_i in [0, 1] represents the normalized feature value, and w_i &gt;= 0 are non-negative weighting coefficients satisfying the unity partition constraint sum_{i=1}^M w_i = 1.0. For acoustic speech detection, the weights are empirically calibrated to w_energy = 0.25, w_rms = 0.20, w_slope = 0.15, w_band = 0.25, w_zscore = 0.15. For mechanical vibration impact detection, higher weight is allocated to discrete slope and spectral centroid (w_slope = 0.35, w_centroid = 0.25).</w:t>
      </w:r>
    </w:p>
    <w:p>
      <w:pPr>
        <w:spacing w:line="276" w:lineRule="auto" w:after="120" w:before="0"/>
        <w:jc w:val="both"/>
      </w:pPr>
      <w:r>
        <w:rPr>
          <w:rFonts w:ascii="Times New Roman" w:hAnsi="Times New Roman"/>
          <w:color w:val="000000"/>
          <w:sz w:val="24"/>
        </w:rPr>
        <w:t>Asynchronous Level-Crossing Quantization: In addition to the windowed feature fusion trigger, the system implements an asynchronous level-crossing (LC) sampling model (`app/processing/level_crossing.py`). Instead of sampling at fixed periodic clock intervals T_s = 1 / f_s, the signal amplitude range [-V_max, +V_max] is quantized into M discrete reference levels spaced by a uniform voltage step Delta_V:</w:t>
      </w:r>
    </w:p>
    <w:p>
      <w:pPr>
        <w:spacing w:line="276" w:lineRule="auto" w:before="120" w:after="120"/>
        <w:jc w:val="center"/>
      </w:pPr>
      <w:r>
        <w:rPr>
          <w:rFonts w:ascii="Times New Roman" w:hAnsi="Times New Roman"/>
          <w:b/>
          <w:i/>
          <w:sz w:val="24"/>
        </w:rPr>
        <w:t>L_k = k * Delta_V,    k in {-K, ..., -1, 0, 1, ..., K}</w:t>
      </w:r>
      <w:r>
        <w:rPr>
          <w:rFonts w:ascii="Times New Roman" w:hAnsi="Times New Roman"/>
          <w:b w:val="0"/>
          <w:i w:val="0"/>
          <w:sz w:val="22"/>
        </w:rPr>
        <w:t xml:space="preserve">    (3.5)</w:t>
      </w:r>
    </w:p>
    <w:p>
      <w:pPr>
        <w:spacing w:line="276" w:lineRule="auto" w:after="120" w:before="0"/>
        <w:jc w:val="both"/>
      </w:pPr>
      <w:r>
        <w:rPr>
          <w:rFonts w:ascii="Times New Roman" w:hAnsi="Times New Roman"/>
          <w:color w:val="000000"/>
          <w:sz w:val="24"/>
        </w:rPr>
        <w:t>A sample is generated if and only if the continuous signal crosses an adjacent reference level L_{k +/- 1} and exceeds a hysteresis band delta_hyst = 0.20 · Delta_V to prevent spurious trigger loops caused by thermal noise. The generated data point consists of a compact tuple (t_crossing, L_k), resulting in dramatic sample count reductions during stationary intervals.</w:t>
      </w:r>
    </w:p>
    <w:p>
      <w:pPr>
        <w:pStyle w:val="Heading2"/>
        <w:keepNext/>
        <w:spacing w:before="200" w:after="80" w:line="276" w:lineRule="auto"/>
        <w:jc w:val="left"/>
      </w:pPr>
      <w:r>
        <w:rPr>
          <w:rFonts w:ascii="Times New Roman" w:hAnsi="Times New Roman"/>
          <w:b/>
          <w:color w:val="000000"/>
          <w:sz w:val="26"/>
        </w:rPr>
        <w:t>3.5 Evaluation Design and Performance Metrics</w:t>
      </w:r>
    </w:p>
    <w:p>
      <w:pPr>
        <w:spacing w:line="276" w:lineRule="auto" w:after="120" w:before="0"/>
        <w:jc w:val="both"/>
      </w:pPr>
      <w:r>
        <w:rPr>
          <w:rFonts w:ascii="Times New Roman" w:hAnsi="Times New Roman"/>
          <w:color w:val="000000"/>
          <w:sz w:val="24"/>
        </w:rPr>
        <w:t>To rigorously quantify the system's event detection fidelity, memory compression, and energy efficiency, a multi-faceted evaluation framework is established across 1,000 continuous test signal windows containing verified ground-truth event intervals:</w:t>
      </w:r>
    </w:p>
    <w:p>
      <w:pPr>
        <w:pStyle w:val="ListBullet"/>
        <w:spacing w:line="276" w:lineRule="auto" w:after="80" w:before="0"/>
        <w:jc w:val="both"/>
      </w:pPr>
      <w:r>
        <w:rPr>
          <w:rFonts w:ascii="Times New Roman" w:hAnsi="Times New Roman"/>
          <w:b/>
          <w:color w:val="000000"/>
          <w:sz w:val="24"/>
        </w:rPr>
        <w:t xml:space="preserve">1. </w:t>
      </w:r>
      <w:r>
        <w:rPr>
          <w:rFonts w:ascii="Times New Roman" w:hAnsi="Times New Roman"/>
          <w:color w:val="000000"/>
          <w:sz w:val="24"/>
        </w:rPr>
        <w:t>Detection Classification Metrics: Evaluated by comparing the FSM's detected event intervals [t_start, t_end] against known ground-truth timestamps. True Positives (TP), False Positives (FP), True Negatives (TN), and False Negatives (FN) are tabulated at 10 ms temporal resolution. Standard classification performance is quantified via Precision (P), Recall (R), and F1-Score:</w:t>
      </w:r>
    </w:p>
    <w:p>
      <w:pPr>
        <w:spacing w:line="276" w:lineRule="auto" w:before="120" w:after="120"/>
        <w:jc w:val="center"/>
      </w:pPr>
      <w:r>
        <w:rPr>
          <w:rFonts w:ascii="Times New Roman" w:hAnsi="Times New Roman"/>
          <w:b/>
          <w:i/>
          <w:sz w:val="24"/>
        </w:rPr>
        <w:t>P = TP / (TP + FP),    R = TP / (TP + FN),    F1 = 2 * (P * R) / (P + R)</w:t>
      </w:r>
      <w:r>
        <w:rPr>
          <w:rFonts w:ascii="Times New Roman" w:hAnsi="Times New Roman"/>
          <w:b w:val="0"/>
          <w:i w:val="0"/>
          <w:sz w:val="22"/>
        </w:rPr>
        <w:t xml:space="preserve">    (3.6)</w:t>
      </w:r>
    </w:p>
    <w:p>
      <w:pPr>
        <w:pStyle w:val="ListBullet"/>
        <w:spacing w:line="276" w:lineRule="auto" w:after="80" w:before="0"/>
        <w:jc w:val="both"/>
      </w:pPr>
      <w:r>
        <w:rPr>
          <w:rFonts w:ascii="Times New Roman" w:hAnsi="Times New Roman"/>
          <w:b/>
          <w:color w:val="000000"/>
          <w:sz w:val="24"/>
        </w:rPr>
        <w:t xml:space="preserve">2. </w:t>
      </w:r>
      <w:r>
        <w:rPr>
          <w:rFonts w:ascii="Times New Roman" w:hAnsi="Times New Roman"/>
          <w:color w:val="000000"/>
          <w:sz w:val="24"/>
        </w:rPr>
        <w:t>Temporal Detection Latency: Defined as the time difference between the true onset of the physical event t_onset and the instant the FSM enters State 3 (EVENT_CONFIRMED):</w:t>
      </w:r>
    </w:p>
    <w:p>
      <w:pPr>
        <w:spacing w:line="276" w:lineRule="auto" w:before="120" w:after="120"/>
        <w:jc w:val="center"/>
      </w:pPr>
      <w:r>
        <w:rPr>
          <w:rFonts w:ascii="Times New Roman" w:hAnsi="Times New Roman"/>
          <w:b/>
          <w:i/>
          <w:sz w:val="24"/>
        </w:rPr>
        <w:t>Delta_t_latency = t_confirmed - t_onset</w:t>
      </w:r>
      <w:r>
        <w:rPr>
          <w:rFonts w:ascii="Times New Roman" w:hAnsi="Times New Roman"/>
          <w:b w:val="0"/>
          <w:i w:val="0"/>
          <w:sz w:val="22"/>
        </w:rPr>
        <w:t xml:space="preserve">    (3.7)</w:t>
      </w:r>
    </w:p>
    <w:p>
      <w:pPr>
        <w:pStyle w:val="ListBullet"/>
        <w:spacing w:line="276" w:lineRule="auto" w:after="80" w:before="0"/>
        <w:jc w:val="both"/>
      </w:pPr>
      <w:r>
        <w:rPr>
          <w:rFonts w:ascii="Times New Roman" w:hAnsi="Times New Roman"/>
          <w:b/>
          <w:color w:val="000000"/>
          <w:sz w:val="24"/>
        </w:rPr>
        <w:t xml:space="preserve">3. </w:t>
      </w:r>
      <w:r>
        <w:rPr>
          <w:rFonts w:ascii="Times New Roman" w:hAnsi="Times New Roman"/>
          <w:color w:val="000000"/>
          <w:sz w:val="24"/>
        </w:rPr>
        <w:t>Memory Footprint Reduction: Quantified by comparing the cumulative byte storage of event-selective acquisition (comprising pre-event buffer, confirmed duration, and post-event tail) against continuous uniform Nyquist storage over total trial duration T_total:</w:t>
      </w:r>
    </w:p>
    <w:p>
      <w:pPr>
        <w:spacing w:line="276" w:lineRule="auto" w:before="120" w:after="120"/>
        <w:jc w:val="center"/>
      </w:pPr>
      <w:r>
        <w:rPr>
          <w:rFonts w:ascii="Times New Roman" w:hAnsi="Times New Roman"/>
          <w:b/>
          <w:i/>
          <w:sz w:val="24"/>
        </w:rPr>
        <w:t>R_memory (%) = (1 - (Bytes_event / Bytes_continuous)) * 100%</w:t>
      </w:r>
      <w:r>
        <w:rPr>
          <w:rFonts w:ascii="Times New Roman" w:hAnsi="Times New Roman"/>
          <w:b w:val="0"/>
          <w:i w:val="0"/>
          <w:sz w:val="22"/>
        </w:rPr>
        <w:t xml:space="preserve">    (3.8)</w:t>
      </w:r>
    </w:p>
    <w:p>
      <w:pPr>
        <w:pStyle w:val="ListBullet"/>
        <w:spacing w:line="276" w:lineRule="auto" w:after="80" w:before="0"/>
        <w:jc w:val="both"/>
      </w:pPr>
      <w:r>
        <w:rPr>
          <w:rFonts w:ascii="Times New Roman" w:hAnsi="Times New Roman"/>
          <w:b/>
          <w:color w:val="000000"/>
          <w:sz w:val="24"/>
        </w:rPr>
        <w:t xml:space="preserve">4. </w:t>
      </w:r>
      <w:r>
        <w:rPr>
          <w:rFonts w:ascii="Times New Roman" w:hAnsi="Times New Roman"/>
          <w:color w:val="000000"/>
          <w:sz w:val="24"/>
        </w:rPr>
        <w:t>Energy Consumption and Battery Lifetime: Total energy dissipation E_total (in Joules or milliwatt-hours) is integrated over the trial duration across the sleep and active states:</w:t>
      </w:r>
    </w:p>
    <w:p>
      <w:pPr>
        <w:spacing w:line="276" w:lineRule="auto" w:before="120" w:after="120"/>
        <w:jc w:val="center"/>
      </w:pPr>
      <w:r>
        <w:rPr>
          <w:rFonts w:ascii="Times New Roman" w:hAnsi="Times New Roman"/>
          <w:b/>
          <w:i/>
          <w:sz w:val="24"/>
        </w:rPr>
        <w:t>E_total = P_standby * T_standby + P_active * T_active</w:t>
      </w:r>
      <w:r>
        <w:rPr>
          <w:rFonts w:ascii="Times New Roman" w:hAnsi="Times New Roman"/>
          <w:b w:val="0"/>
          <w:i w:val="0"/>
          <w:sz w:val="22"/>
        </w:rPr>
        <w:t xml:space="preserve">    (3.9)</w:t>
      </w:r>
    </w:p>
    <w:p>
      <w:pPr>
        <w:spacing w:line="276" w:lineRule="auto" w:after="120" w:before="0"/>
        <w:jc w:val="both"/>
      </w:pPr>
      <w:r>
        <w:rPr>
          <w:rFonts w:ascii="Times New Roman" w:hAnsi="Times New Roman"/>
          <w:color w:val="000000"/>
          <w:sz w:val="24"/>
        </w:rPr>
        <w:t>Battery operational lifetime L_hours on a standard 3.7 V, 2000 mAh Li-ion battery (total nominal energy capacity E_batt = 7.4 Watt-hours = 7,400 mWh) is estimated using Peukert's capacity relationship:</w:t>
      </w:r>
    </w:p>
    <w:p>
      <w:pPr>
        <w:spacing w:line="276" w:lineRule="auto" w:before="120" w:after="120"/>
        <w:jc w:val="center"/>
      </w:pPr>
      <w:r>
        <w:rPr>
          <w:rFonts w:ascii="Times New Roman" w:hAnsi="Times New Roman"/>
          <w:b/>
          <w:i/>
          <w:sz w:val="24"/>
        </w:rPr>
        <w:t>L_hours = E_batt / P_avg = 7400 / (P_standby * (1 - D) + P_active * D)</w:t>
      </w:r>
      <w:r>
        <w:rPr>
          <w:rFonts w:ascii="Times New Roman" w:hAnsi="Times New Roman"/>
          <w:b w:val="0"/>
          <w:i w:val="0"/>
          <w:sz w:val="22"/>
        </w:rPr>
        <w:t xml:space="preserve">    (3.10)</w:t>
      </w:r>
    </w:p>
    <w:p>
      <w:pPr>
        <w:spacing w:line="276" w:lineRule="auto" w:after="120" w:before="0"/>
        <w:jc w:val="both"/>
      </w:pPr>
      <w:r>
        <w:rPr>
          <w:rFonts w:ascii="Times New Roman" w:hAnsi="Times New Roman"/>
          <w:color w:val="000000"/>
          <w:sz w:val="24"/>
        </w:rPr>
        <w:t>where D = T_active / T_total represents the event activity duty cycle.</w:t>
      </w:r>
    </w:p>
    <w:p>
      <w:r>
        <w:br w:type="page"/>
      </w:r>
    </w:p>
    <w:p>
      <w:pPr>
        <w:pStyle w:val="Heading1"/>
        <w:keepNext/>
        <w:spacing w:before="280" w:after="120" w:line="276" w:lineRule="auto"/>
        <w:jc w:val="left"/>
      </w:pPr>
      <w:r>
        <w:rPr>
          <w:rFonts w:ascii="Times New Roman" w:hAnsi="Times New Roman"/>
          <w:b/>
          <w:color w:val="000000"/>
          <w:sz w:val="30"/>
        </w:rPr>
        <w:t>Chapter 4 Implementation</w:t>
      </w:r>
    </w:p>
    <w:p>
      <w:pPr>
        <w:pStyle w:val="Heading2"/>
        <w:keepNext/>
        <w:spacing w:before="200" w:after="80" w:line="276" w:lineRule="auto"/>
        <w:jc w:val="left"/>
      </w:pPr>
      <w:r>
        <w:rPr>
          <w:rFonts w:ascii="Times New Roman" w:hAnsi="Times New Roman"/>
          <w:b/>
          <w:color w:val="000000"/>
          <w:sz w:val="26"/>
        </w:rPr>
        <w:t>4.1 Development Environment and Toolchain</w:t>
      </w:r>
    </w:p>
    <w:p>
      <w:pPr>
        <w:spacing w:line="276" w:lineRule="auto" w:after="120" w:before="0"/>
        <w:jc w:val="both"/>
      </w:pPr>
      <w:r>
        <w:rPr>
          <w:rFonts w:ascii="Times New Roman" w:hAnsi="Times New Roman"/>
          <w:color w:val="000000"/>
          <w:sz w:val="24"/>
        </w:rPr>
        <w:t>The implementation of the Event-Selective Intelligent Sensing System spans an end-to-end full-stack software and hardware architecture. Table 4.1 details the development environment, language versions, third-party libraries, containerization tools, and hardware platforms employed across the system.</w:t>
      </w:r>
    </w:p>
    <w:tbl>
      <w:tblPr>
        <w:tblStyle w:val="TableGrid"/>
        <w:tblW w:type="auto" w:w="0"/>
        <w:jc w:val="center"/>
        <w:tblLook w:firstColumn="1" w:firstRow="1" w:lastColumn="0" w:lastRow="0" w:noHBand="0" w:noVBand="1" w:val="04A0"/>
      </w:tblPr>
      <w:tblGrid>
        <w:gridCol w:w="3144"/>
        <w:gridCol w:w="3144"/>
        <w:gridCol w:w="3144"/>
      </w:tblGrid>
      <w:tr>
        <w:trPr>
          <w:tblHeader/>
        </w:trPr>
        <w:tc>
          <w:tcPr>
            <w:tcW w:type="dxa" w:w="2160"/>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Subsystem / Tool</w:t>
            </w:r>
          </w:p>
        </w:tc>
        <w:tc>
          <w:tcPr>
            <w:tcW w:type="dxa" w:w="2592"/>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Version / Specification</w:t>
            </w:r>
          </w:p>
        </w:tc>
        <w:tc>
          <w:tcPr>
            <w:tcW w:type="dxa" w:w="4464"/>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Architectural Role and Operational Purpose</w:t>
            </w:r>
          </w:p>
        </w:tc>
      </w:tr>
      <w:tr>
        <w:tc>
          <w:tcPr>
            <w:tcW w:type="dxa" w:w="216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Python Runtime</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Python 3.11+ / 3.14 (64-bit)</w:t>
            </w:r>
          </w:p>
        </w:tc>
        <w:tc>
          <w:tcPr>
            <w:tcW w:type="dxa" w:w="4464"/>
            <w:tcMar>
              <w:top w:w="100" w:type="dxa"/>
              <w:bottom w:w="100" w:type="dxa"/>
              <w:left w:w="130" w:type="dxa"/>
              <w:right w:w="130" w:type="dxa"/>
            </w:tcMar>
          </w:tcPr>
          <w:p>
            <w:pPr>
              <w:spacing w:line="252" w:lineRule="auto" w:before="0" w:after="0"/>
              <w:jc w:val="left"/>
            </w:pPr>
            <w:r>
              <w:rPr>
                <w:rFonts w:ascii="Times New Roman" w:hAnsi="Times New Roman"/>
                <w:color w:val="141414"/>
                <w:sz w:val="19"/>
              </w:rPr>
              <w:t>Core scientific computation, signal processing algorithms, and asynchronous backend server runtime</w:t>
            </w:r>
          </w:p>
        </w:tc>
      </w:tr>
      <w:tr>
        <w:tc>
          <w:tcPr>
            <w:tcW w:type="dxa" w:w="216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FastAPI Framework</w:t>
            </w:r>
          </w:p>
        </w:tc>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FastAPI 0.115+ / Uvicorn</w:t>
            </w:r>
          </w:p>
        </w:tc>
        <w:tc>
          <w:tcPr>
            <w:tcW w:type="dxa" w:w="446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High-throughput asynchronous RESTful API endpoints and real-time WebSocket connection manager</w:t>
            </w:r>
          </w:p>
        </w:tc>
      </w:tr>
      <w:tr>
        <w:tc>
          <w:tcPr>
            <w:tcW w:type="dxa" w:w="2160"/>
            <w:tcMar>
              <w:top w:w="100" w:type="dxa"/>
              <w:bottom w:w="100" w:type="dxa"/>
              <w:left w:w="130" w:type="dxa"/>
              <w:right w:w="130" w:type="dxa"/>
            </w:tcMar>
          </w:tcPr>
          <w:p>
            <w:pPr>
              <w:spacing w:line="252" w:lineRule="auto" w:before="0" w:after="0"/>
              <w:jc w:val="left"/>
            </w:pPr>
            <w:r>
              <w:rPr>
                <w:rFonts w:ascii="Times New Roman" w:hAnsi="Times New Roman"/>
                <w:color w:val="141414"/>
                <w:sz w:val="19"/>
              </w:rPr>
              <w:t>NumPy &amp; SciPy</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NumPy 2.5+, SciPy 1.14+</w:t>
            </w:r>
          </w:p>
        </w:tc>
        <w:tc>
          <w:tcPr>
            <w:tcW w:type="dxa" w:w="4464"/>
            <w:tcMar>
              <w:top w:w="100" w:type="dxa"/>
              <w:bottom w:w="100" w:type="dxa"/>
              <w:left w:w="130" w:type="dxa"/>
              <w:right w:w="130" w:type="dxa"/>
            </w:tcMar>
          </w:tcPr>
          <w:p>
            <w:pPr>
              <w:spacing w:line="252" w:lineRule="auto" w:before="0" w:after="0"/>
              <w:jc w:val="left"/>
            </w:pPr>
            <w:r>
              <w:rPr>
                <w:rFonts w:ascii="Times New Roman" w:hAnsi="Times New Roman"/>
                <w:color w:val="141414"/>
                <w:sz w:val="19"/>
              </w:rPr>
              <w:t>Vectorized signal array manipulation, digital Butterworth IIR filter design, STFT, and convolution</w:t>
            </w:r>
          </w:p>
        </w:tc>
      </w:tr>
      <w:tr>
        <w:tc>
          <w:tcPr>
            <w:tcW w:type="dxa" w:w="216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OpenCV</w:t>
            </w:r>
          </w:p>
        </w:tc>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OpenCV 4.10+ (opencv-python)</w:t>
            </w:r>
          </w:p>
        </w:tc>
        <w:tc>
          <w:tcPr>
            <w:tcW w:type="dxa" w:w="446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Computer vision frame differencing, morphological filtering, and spatial motion detection simulation</w:t>
            </w:r>
          </w:p>
        </w:tc>
      </w:tr>
      <w:tr>
        <w:tc>
          <w:tcPr>
            <w:tcW w:type="dxa" w:w="2160"/>
            <w:tcMar>
              <w:top w:w="100" w:type="dxa"/>
              <w:bottom w:w="100" w:type="dxa"/>
              <w:left w:w="130" w:type="dxa"/>
              <w:right w:w="130" w:type="dxa"/>
            </w:tcMar>
          </w:tcPr>
          <w:p>
            <w:pPr>
              <w:spacing w:line="252" w:lineRule="auto" w:before="0" w:after="0"/>
              <w:jc w:val="left"/>
            </w:pPr>
            <w:r>
              <w:rPr>
                <w:rFonts w:ascii="Times New Roman" w:hAnsi="Times New Roman"/>
                <w:color w:val="141414"/>
                <w:sz w:val="19"/>
              </w:rPr>
              <w:t>Database &amp; ORM</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SQLAlchemy 2.0+ &amp; aiosqlite</w:t>
            </w:r>
          </w:p>
        </w:tc>
        <w:tc>
          <w:tcPr>
            <w:tcW w:type="dxa" w:w="4464"/>
            <w:tcMar>
              <w:top w:w="100" w:type="dxa"/>
              <w:bottom w:w="100" w:type="dxa"/>
              <w:left w:w="130" w:type="dxa"/>
              <w:right w:w="130" w:type="dxa"/>
            </w:tcMar>
          </w:tcPr>
          <w:p>
            <w:pPr>
              <w:spacing w:line="252" w:lineRule="auto" w:before="0" w:after="0"/>
              <w:jc w:val="left"/>
            </w:pPr>
            <w:r>
              <w:rPr>
                <w:rFonts w:ascii="Times New Roman" w:hAnsi="Times New Roman"/>
                <w:color w:val="141414"/>
                <w:sz w:val="19"/>
              </w:rPr>
              <w:t>Asynchronous object-relational database mapping and transactional persistence to SQLite (event_selective.db)</w:t>
            </w:r>
          </w:p>
        </w:tc>
      </w:tr>
      <w:tr>
        <w:tc>
          <w:tcPr>
            <w:tcW w:type="dxa" w:w="216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Pydantic V2</w:t>
            </w:r>
          </w:p>
        </w:tc>
        <w:tc>
          <w:tcPr>
            <w:tcW w:type="dxa" w:w="259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Pydantic 2.10+</w:t>
            </w:r>
          </w:p>
        </w:tc>
        <w:tc>
          <w:tcPr>
            <w:tcW w:type="dxa" w:w="446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Strict runtime data schema validation, configuration loading, and JSON serialization for API contracts</w:t>
            </w:r>
          </w:p>
        </w:tc>
      </w:tr>
      <w:tr>
        <w:tc>
          <w:tcPr>
            <w:tcW w:type="dxa" w:w="216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React Frontend</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React 19 + TypeScript + Vite</w:t>
            </w:r>
          </w:p>
        </w:tc>
        <w:tc>
          <w:tcPr>
            <w:tcW w:type="dxa" w:w="4464"/>
            <w:tcMar>
              <w:top w:w="100" w:type="dxa"/>
              <w:bottom w:w="100" w:type="dxa"/>
              <w:left w:w="130" w:type="dxa"/>
              <w:right w:w="130" w:type="dxa"/>
            </w:tcMar>
          </w:tcPr>
          <w:p>
            <w:pPr>
              <w:spacing w:line="252" w:lineRule="auto" w:before="0" w:after="0"/>
              <w:jc w:val="left"/>
            </w:pPr>
            <w:r>
              <w:rPr>
                <w:rFonts w:ascii="Times New Roman" w:hAnsi="Times New Roman"/>
                <w:color w:val="141414"/>
                <w:sz w:val="19"/>
              </w:rPr>
              <w:t>Modern interactive client single-page application with 60 FPS requestAnimationFrame simulation loop</w:t>
            </w:r>
          </w:p>
        </w:tc>
      </w:tr>
      <w:tr>
        <w:tc>
          <w:tcPr>
            <w:tcW w:type="dxa" w:w="216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Visualization Suite</w:t>
            </w:r>
          </w:p>
        </w:tc>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Recharts 2.15+ &amp; Tailwind CSS 4</w:t>
            </w:r>
          </w:p>
        </w:tc>
        <w:tc>
          <w:tcPr>
            <w:tcW w:type="dxa" w:w="446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Real-time dual-axis rolling signal chart, dynamic FSM state transition visualizer, and glassmorphism UI</w:t>
            </w:r>
          </w:p>
        </w:tc>
      </w:tr>
      <w:tr>
        <w:tc>
          <w:tcPr>
            <w:tcW w:type="dxa" w:w="216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Embedded Hardware</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ESP32-WROOM-32 (Xtensa Dual-Core)</w:t>
            </w:r>
          </w:p>
        </w:tc>
        <w:tc>
          <w:tcPr>
            <w:tcW w:type="dxa" w:w="4464"/>
            <w:tcMar>
              <w:top w:w="100" w:type="dxa"/>
              <w:bottom w:w="100" w:type="dxa"/>
              <w:left w:w="130" w:type="dxa"/>
              <w:right w:w="130" w:type="dxa"/>
            </w:tcMar>
          </w:tcPr>
          <w:p>
            <w:pPr>
              <w:spacing w:line="252" w:lineRule="auto" w:before="0" w:after="0"/>
              <w:jc w:val="left"/>
            </w:pPr>
            <w:r>
              <w:rPr>
                <w:rFonts w:ascii="Times New Roman" w:hAnsi="Times New Roman"/>
                <w:color w:val="141414"/>
                <w:sz w:val="19"/>
              </w:rPr>
              <w:t>Low-power edge microcontroller node running embedded ADC sampling and Wi-Fi HTTP data streaming</w:t>
            </w:r>
          </w:p>
        </w:tc>
      </w:tr>
      <w:tr>
        <w:tc>
          <w:tcPr>
            <w:tcW w:type="dxa" w:w="216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Containerization</w:t>
            </w:r>
          </w:p>
        </w:tc>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Docker Engine &amp; Docker Compose</w:t>
            </w:r>
          </w:p>
        </w:tc>
        <w:tc>
          <w:tcPr>
            <w:tcW w:type="dxa" w:w="446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Multi-service container orchestration, repeatable isolated builds, and production deployment</w:t>
            </w:r>
          </w:p>
        </w:tc>
      </w:tr>
    </w:tbl>
    <w:p>
      <w:pPr>
        <w:spacing w:before="0" w:after="120"/>
      </w:pPr>
    </w:p>
    <w:p>
      <w:pPr>
        <w:pStyle w:val="Heading2"/>
        <w:keepNext/>
        <w:spacing w:before="200" w:after="80" w:line="276" w:lineRule="auto"/>
        <w:jc w:val="left"/>
      </w:pPr>
      <w:r>
        <w:rPr>
          <w:rFonts w:ascii="Times New Roman" w:hAnsi="Times New Roman"/>
          <w:b/>
          <w:color w:val="000000"/>
          <w:sz w:val="26"/>
        </w:rPr>
        <w:t>4.2 Modular Software Architecture and Execution Sequence</w:t>
      </w:r>
    </w:p>
    <w:p>
      <w:pPr>
        <w:spacing w:line="276" w:lineRule="auto" w:after="120" w:before="0"/>
        <w:jc w:val="both"/>
      </w:pPr>
      <w:r>
        <w:rPr>
          <w:rFonts w:ascii="Times New Roman" w:hAnsi="Times New Roman"/>
          <w:color w:val="000000"/>
          <w:sz w:val="24"/>
        </w:rPr>
        <w:t>The backend codebase is organized into cleanly decoupled functional layers adhering to separation of concerns. Table 4.2 enumerates the primary Python modules in the `backend/app/` hierarchy, their core responsibilities, and their inputs/outputs.</w:t>
      </w:r>
    </w:p>
    <w:tbl>
      <w:tblPr>
        <w:tblStyle w:val="TableGrid"/>
        <w:tblW w:type="auto" w:w="0"/>
        <w:jc w:val="center"/>
        <w:tblLook w:firstColumn="1" w:firstRow="1" w:lastColumn="0" w:lastRow="0" w:noHBand="0" w:noVBand="1" w:val="04A0"/>
      </w:tblPr>
      <w:tblGrid>
        <w:gridCol w:w="3144"/>
        <w:gridCol w:w="3144"/>
        <w:gridCol w:w="3144"/>
      </w:tblGrid>
      <w:tr>
        <w:trPr>
          <w:tblHeader/>
        </w:trPr>
        <w:tc>
          <w:tcPr>
            <w:tcW w:type="dxa" w:w="2592"/>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Module Path</w:t>
            </w:r>
          </w:p>
        </w:tc>
        <w:tc>
          <w:tcPr>
            <w:tcW w:type="dxa" w:w="2592"/>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Functional Role</w:t>
            </w:r>
          </w:p>
        </w:tc>
        <w:tc>
          <w:tcPr>
            <w:tcW w:type="dxa" w:w="4032"/>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Input Parameters → Produced Outputs</w:t>
            </w:r>
          </w:p>
        </w:tc>
      </w:tr>
      <w:tr>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app.services.event_service</w:t>
              <w:br/>
              <w:t>(CircularSignalBuffer,</w:t>
              <w:br/>
              <w:t>EventStateMachine)</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Core engine orchestrating 5-state</w:t>
              <w:br/>
              <w:t>FSM transitions, circular ring</w:t>
              <w:br/>
              <w:t>buffering, and hysteresis logic</w:t>
            </w:r>
          </w:p>
        </w:tc>
        <w:tc>
          <w:tcPr>
            <w:tcW w:type="dxa" w:w="4032"/>
            <w:tcMar>
              <w:top w:w="100" w:type="dxa"/>
              <w:bottom w:w="100" w:type="dxa"/>
              <w:left w:w="130" w:type="dxa"/>
              <w:right w:w="130" w:type="dxa"/>
            </w:tcMar>
          </w:tcPr>
          <w:p>
            <w:pPr>
              <w:spacing w:line="252" w:lineRule="auto" w:before="0" w:after="0"/>
              <w:jc w:val="left"/>
            </w:pPr>
            <w:r>
              <w:rPr>
                <w:rFonts w:ascii="Times New Roman" w:hAnsi="Times New Roman"/>
                <w:color w:val="141414"/>
                <w:sz w:val="19"/>
              </w:rPr>
              <w:t>Raw sample stream, sensor/detector</w:t>
              <w:br/>
              <w:t>configs → FSM state, detected</w:t>
              <w:br/>
              <w:t>event payloads, pre/post buffer</w:t>
            </w:r>
          </w:p>
        </w:tc>
      </w:tr>
      <w:tr>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app.processing.feature_fusion</w:t>
              <w:br/>
              <w:t>(extract_all_features,</w:t>
              <w:br/>
              <w:t>fuse_features)</w:t>
            </w:r>
          </w:p>
        </w:tc>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Extracts time, frequency, and</w:t>
              <w:br/>
              <w:t>statistical features; computes</w:t>
              <w:br/>
              <w:t>normalized weighted score S(t)</w:t>
            </w:r>
          </w:p>
        </w:tc>
        <w:tc>
          <w:tcPr>
            <w:tcW w:type="dxa" w:w="403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Sliding sample array (N=256),</w:t>
              <w:br/>
              <w:t>feature weights → Fused scalar</w:t>
              <w:br/>
              <w:t>score S(t) in [0, 1], feature dict</w:t>
            </w:r>
          </w:p>
        </w:tc>
      </w:tr>
      <w:tr>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app.processing.level_crossing</w:t>
              <w:br/>
              <w:t>(level_crossing_sampling,</w:t>
              <w:br/>
              <w:t>delta_change_sampling)</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Executes non-uniform level-crossing</w:t>
              <w:br/>
              <w:t>quantization and delta sampling</w:t>
              <w:br/>
              <w:t>with hysteresis band</w:t>
            </w:r>
          </w:p>
        </w:tc>
        <w:tc>
          <w:tcPr>
            <w:tcW w:type="dxa" w:w="4032"/>
            <w:tcMar>
              <w:top w:w="100" w:type="dxa"/>
              <w:bottom w:w="100" w:type="dxa"/>
              <w:left w:w="130" w:type="dxa"/>
              <w:right w:w="130" w:type="dxa"/>
            </w:tcMar>
          </w:tcPr>
          <w:p>
            <w:pPr>
              <w:spacing w:line="252" w:lineRule="auto" w:before="0" w:after="0"/>
              <w:jc w:val="left"/>
            </w:pPr>
            <w:r>
              <w:rPr>
                <w:rFonts w:ascii="Times New Roman" w:hAnsi="Times New Roman"/>
                <w:color w:val="141414"/>
                <w:sz w:val="19"/>
              </w:rPr>
              <w:t>Continuous analog signal array,</w:t>
              <w:br/>
              <w:t>voltage level spacing, hysteresis</w:t>
              <w:br/>
              <w:t>→ Non-uniform sample times, counts</w:t>
            </w:r>
          </w:p>
        </w:tc>
      </w:tr>
      <w:tr>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app.processing.energy,</w:t>
              <w:br/>
              <w:t>app.processing.rms,</w:t>
              <w:br/>
              <w:t>app.processing.slope</w:t>
            </w:r>
          </w:p>
        </w:tc>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Time-domain feature extraction</w:t>
              <w:br/>
              <w:t>algorithms for energy, effective RMS,</w:t>
              <w:br/>
              <w:t>and maximum discrete gradient</w:t>
            </w:r>
          </w:p>
        </w:tc>
        <w:tc>
          <w:tcPr>
            <w:tcW w:type="dxa" w:w="403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Windowed sample buffer (np.ndarray),</w:t>
              <w:br/>
              <w:t>time delta dt → Scalar feature</w:t>
              <w:br/>
              <w:t>values (STE, RMS, Max Slope)</w:t>
            </w:r>
          </w:p>
        </w:tc>
      </w:tr>
      <w:tr>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app.processing.frequency</w:t>
              <w:br/>
              <w:t>(calculate_fft_spectrum,</w:t>
              <w:br/>
              <w:t>calculate_band_energy)</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Frequency-domain spectral analysis;</w:t>
              <w:br/>
              <w:t>computes Fast Fourier Transform</w:t>
              <w:br/>
              <w:t>and sub-band energy partitions</w:t>
            </w:r>
          </w:p>
        </w:tc>
        <w:tc>
          <w:tcPr>
            <w:tcW w:type="dxa" w:w="4032"/>
            <w:tcMar>
              <w:top w:w="100" w:type="dxa"/>
              <w:bottom w:w="100" w:type="dxa"/>
              <w:left w:w="130" w:type="dxa"/>
              <w:right w:w="130" w:type="dxa"/>
            </w:tcMar>
          </w:tcPr>
          <w:p>
            <w:pPr>
              <w:spacing w:line="252" w:lineRule="auto" w:before="0" w:after="0"/>
              <w:jc w:val="left"/>
            </w:pPr>
            <w:r>
              <w:rPr>
                <w:rFonts w:ascii="Times New Roman" w:hAnsi="Times New Roman"/>
                <w:color w:val="141414"/>
                <w:sz w:val="19"/>
              </w:rPr>
              <w:t>Sample window, sample rate f_s,</w:t>
              <w:br/>
              <w:t>sub-band frequency limits → FFT</w:t>
              <w:br/>
              <w:t>magnitudes, band energy scalar</w:t>
            </w:r>
          </w:p>
        </w:tc>
      </w:tr>
      <w:tr>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app.api.websocket</w:t>
              <w:br/>
              <w:t>(SimulationSession,</w:t>
              <w:br/>
              <w:t>websocket_simulation)</w:t>
            </w:r>
          </w:p>
        </w:tc>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Manages persistent WebSocket sessions;</w:t>
              <w:br/>
              <w:t>streams real-time telemetry updates</w:t>
              <w:br/>
              <w:t>at 20 Hz to frontend dashboard</w:t>
            </w:r>
          </w:p>
        </w:tc>
        <w:tc>
          <w:tcPr>
            <w:tcW w:type="dxa" w:w="403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Start/Stop JSON commands, client</w:t>
              <w:br/>
              <w:t>config → 20 Hz JSON telemetry</w:t>
              <w:br/>
              <w:t>frames (states, scores, samples)</w:t>
            </w:r>
          </w:p>
        </w:tc>
      </w:tr>
      <w:tr>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app.api.routes.hardware</w:t>
              <w:br/>
              <w:t>(register_device,</w:t>
              <w:br/>
              <w:t>ingest_hardware_data)</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Ingests raw ADC sample blocks</w:t>
              <w:br/>
              <w:t>streamed over HTTP from external</w:t>
              <w:br/>
              <w:t>ESP32 physical hardware nodes</w:t>
            </w:r>
          </w:p>
        </w:tc>
        <w:tc>
          <w:tcPr>
            <w:tcW w:type="dxa" w:w="4032"/>
            <w:tcMar>
              <w:top w:w="100" w:type="dxa"/>
              <w:bottom w:w="100" w:type="dxa"/>
              <w:left w:w="130" w:type="dxa"/>
              <w:right w:w="130" w:type="dxa"/>
            </w:tcMar>
          </w:tcPr>
          <w:p>
            <w:pPr>
              <w:spacing w:line="252" w:lineRule="auto" w:before="0" w:after="0"/>
              <w:jc w:val="left"/>
            </w:pPr>
            <w:r>
              <w:rPr>
                <w:rFonts w:ascii="Times New Roman" w:hAnsi="Times New Roman"/>
                <w:color w:val="141414"/>
                <w:sz w:val="19"/>
              </w:rPr>
              <w:t>Hardware registration JSON, raw</w:t>
              <w:br/>
              <w:t>ADC readings → Same FSM engine,</w:t>
              <w:br/>
              <w:t>stored hardware events</w:t>
            </w:r>
          </w:p>
        </w:tc>
      </w:tr>
    </w:tbl>
    <w:p>
      <w:pPr>
        <w:spacing w:before="0" w:after="120"/>
      </w:pPr>
    </w:p>
    <w:p>
      <w:pPr>
        <w:spacing w:line="276" w:lineRule="auto" w:after="120" w:before="0"/>
        <w:jc w:val="both"/>
      </w:pPr>
      <w:r>
        <w:rPr>
          <w:rFonts w:ascii="Times New Roman" w:hAnsi="Times New Roman"/>
          <w:color w:val="000000"/>
          <w:sz w:val="24"/>
        </w:rPr>
        <w:t>Execution Sequence: Upon system initialization, the `SimulationSession` or hardware ingestion daemon initializes the `EventStateMachine` with specified `SensorConfig`, `DetectorConfig`, `BufferConfig`, and `PowerConfig`. At each processing tick (governed by sample rate f_s or incoming packet interval), new samples are pushed into the lock-free `CircularSignalBuffer`. When the buffer contains at least W = 256 samples, `extract_all_features()` computes the feature vector, and `fuse_features()` evaluates the scalar score S(t). The score is fed to `EventStateMachine.process_sample()`, which evaluates threshold crossings, updates state timers, manages pre/post buffer windows, and commits detected event records to the asynchronous SQLite database via SQLAlchemy ORM models.</w:t>
      </w:r>
    </w:p>
    <w:p>
      <w:pPr>
        <w:pStyle w:val="Heading2"/>
        <w:keepNext/>
        <w:spacing w:before="200" w:after="80" w:line="276" w:lineRule="auto"/>
        <w:jc w:val="left"/>
      </w:pPr>
      <w:r>
        <w:rPr>
          <w:rFonts w:ascii="Times New Roman" w:hAnsi="Times New Roman"/>
          <w:b/>
          <w:color w:val="000000"/>
          <w:sz w:val="26"/>
        </w:rPr>
        <w:t>4.3 Parameters and System Settings</w:t>
      </w:r>
    </w:p>
    <w:p>
      <w:pPr>
        <w:spacing w:line="276" w:lineRule="auto" w:after="120" w:before="0"/>
        <w:jc w:val="both"/>
      </w:pPr>
      <w:r>
        <w:rPr>
          <w:rFonts w:ascii="Times New Roman" w:hAnsi="Times New Roman"/>
          <w:color w:val="000000"/>
          <w:sz w:val="24"/>
        </w:rPr>
        <w:t>To achieve optimal trade-offs between detection sensitivity, false alarm rejection, and memory consumption, system parameters were systematically calibrated through empirical bench trials. Table 4.3 outlines the calibrated parameters, operational values, and their engineering justifications.</w:t>
      </w:r>
    </w:p>
    <w:tbl>
      <w:tblPr>
        <w:tblStyle w:val="TableGrid"/>
        <w:tblW w:type="auto" w:w="0"/>
        <w:jc w:val="center"/>
        <w:tblLook w:firstColumn="1" w:firstRow="1" w:lastColumn="0" w:lastRow="0" w:noHBand="0" w:noVBand="1" w:val="04A0"/>
      </w:tblPr>
      <w:tblGrid>
        <w:gridCol w:w="3144"/>
        <w:gridCol w:w="3144"/>
        <w:gridCol w:w="3144"/>
      </w:tblGrid>
      <w:tr>
        <w:trPr>
          <w:tblHeader/>
        </w:trPr>
        <w:tc>
          <w:tcPr>
            <w:tcW w:type="dxa" w:w="2304"/>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System Parameter</w:t>
            </w:r>
          </w:p>
        </w:tc>
        <w:tc>
          <w:tcPr>
            <w:tcW w:type="dxa" w:w="2016"/>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Configured Value</w:t>
            </w:r>
          </w:p>
        </w:tc>
        <w:tc>
          <w:tcPr>
            <w:tcW w:type="dxa" w:w="4896"/>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Engineering Justification and Trade-Off Rationale</w:t>
            </w:r>
          </w:p>
        </w:tc>
      </w:tr>
      <w:tr>
        <w:tc>
          <w:tcPr>
            <w:tcW w:type="dxa" w:w="2304"/>
            <w:tcMar>
              <w:top w:w="100" w:type="dxa"/>
              <w:bottom w:w="100" w:type="dxa"/>
              <w:left w:w="130" w:type="dxa"/>
              <w:right w:w="130" w:type="dxa"/>
            </w:tcMar>
          </w:tcPr>
          <w:p>
            <w:pPr>
              <w:spacing w:line="252" w:lineRule="auto" w:before="0" w:after="0"/>
              <w:jc w:val="left"/>
            </w:pPr>
            <w:r>
              <w:rPr>
                <w:rFonts w:ascii="Times New Roman" w:hAnsi="Times New Roman"/>
                <w:color w:val="141414"/>
                <w:sz w:val="19"/>
              </w:rPr>
              <w:t>Feature Window Size (N)</w:t>
            </w:r>
          </w:p>
        </w:tc>
        <w:tc>
          <w:tcPr>
            <w:tcW w:type="dxa" w:w="2016"/>
            <w:tcMar>
              <w:top w:w="100" w:type="dxa"/>
              <w:bottom w:w="100" w:type="dxa"/>
              <w:left w:w="130" w:type="dxa"/>
              <w:right w:w="130" w:type="dxa"/>
            </w:tcMar>
          </w:tcPr>
          <w:p>
            <w:pPr>
              <w:spacing w:line="252" w:lineRule="auto" w:before="0" w:after="0"/>
              <w:jc w:val="left"/>
            </w:pPr>
            <w:r>
              <w:rPr>
                <w:rFonts w:ascii="Times New Roman" w:hAnsi="Times New Roman"/>
                <w:color w:val="141414"/>
                <w:sz w:val="19"/>
              </w:rPr>
              <w:t>256 samples</w:t>
              <w:br/>
              <w:t>(16.0 ms at 16 kHz)</w:t>
            </w:r>
          </w:p>
        </w:tc>
        <w:tc>
          <w:tcPr>
            <w:tcW w:type="dxa" w:w="4896"/>
            <w:tcMar>
              <w:top w:w="100" w:type="dxa"/>
              <w:bottom w:w="100" w:type="dxa"/>
              <w:left w:w="130" w:type="dxa"/>
              <w:right w:w="130" w:type="dxa"/>
            </w:tcMar>
          </w:tcPr>
          <w:p>
            <w:pPr>
              <w:spacing w:line="252" w:lineRule="auto" w:before="0" w:after="0"/>
              <w:jc w:val="left"/>
            </w:pPr>
            <w:r>
              <w:rPr>
                <w:rFonts w:ascii="Times New Roman" w:hAnsi="Times New Roman"/>
                <w:color w:val="141414"/>
                <w:sz w:val="19"/>
              </w:rPr>
              <w:t>Provides adequate spectral resolution for FFT (62.5 Hz bin spacing) while maintaining low computational latency and negligible SRAM buffer overhead</w:t>
            </w:r>
          </w:p>
        </w:tc>
      </w:tr>
      <w:tr>
        <w:tc>
          <w:tcPr>
            <w:tcW w:type="dxa" w:w="230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Trigger Threshold (T_th)</w:t>
            </w:r>
          </w:p>
        </w:tc>
        <w:tc>
          <w:tcPr>
            <w:tcW w:type="dxa" w:w="201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0.150</w:t>
              <w:br/>
              <w:t>(Normalized score)</w:t>
            </w:r>
          </w:p>
        </w:tc>
        <w:tc>
          <w:tcPr>
            <w:tcW w:type="dxa" w:w="489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Optimally separates background noise floor (mean score 0.04) from low-intensity speech/impact transients (scores &gt; 0.35) under 10 dB SNR</w:t>
            </w:r>
          </w:p>
        </w:tc>
      </w:tr>
      <w:tr>
        <w:tc>
          <w:tcPr>
            <w:tcW w:type="dxa" w:w="2304"/>
            <w:tcMar>
              <w:top w:w="100" w:type="dxa"/>
              <w:bottom w:w="100" w:type="dxa"/>
              <w:left w:w="130" w:type="dxa"/>
              <w:right w:w="130" w:type="dxa"/>
            </w:tcMar>
          </w:tcPr>
          <w:p>
            <w:pPr>
              <w:spacing w:line="252" w:lineRule="auto" w:before="0" w:after="0"/>
              <w:jc w:val="left"/>
            </w:pPr>
            <w:r>
              <w:rPr>
                <w:rFonts w:ascii="Times New Roman" w:hAnsi="Times New Roman"/>
                <w:color w:val="141414"/>
                <w:sz w:val="19"/>
              </w:rPr>
              <w:t>Hysteresis Scaling Factor</w:t>
            </w:r>
          </w:p>
        </w:tc>
        <w:tc>
          <w:tcPr>
            <w:tcW w:type="dxa" w:w="2016"/>
            <w:tcMar>
              <w:top w:w="100" w:type="dxa"/>
              <w:bottom w:w="100" w:type="dxa"/>
              <w:left w:w="130" w:type="dxa"/>
              <w:right w:w="130" w:type="dxa"/>
            </w:tcMar>
          </w:tcPr>
          <w:p>
            <w:pPr>
              <w:spacing w:line="252" w:lineRule="auto" w:before="0" w:after="0"/>
              <w:jc w:val="left"/>
            </w:pPr>
            <w:r>
              <w:rPr>
                <w:rFonts w:ascii="Times New Roman" w:hAnsi="Times New Roman"/>
                <w:color w:val="141414"/>
                <w:sz w:val="19"/>
              </w:rPr>
              <w:t>0.70x</w:t>
              <w:br/>
              <w:t>(Release at 0.105)</w:t>
            </w:r>
          </w:p>
        </w:tc>
        <w:tc>
          <w:tcPr>
            <w:tcW w:type="dxa" w:w="4896"/>
            <w:tcMar>
              <w:top w:w="100" w:type="dxa"/>
              <w:bottom w:w="100" w:type="dxa"/>
              <w:left w:w="130" w:type="dxa"/>
              <w:right w:w="130" w:type="dxa"/>
            </w:tcMar>
          </w:tcPr>
          <w:p>
            <w:pPr>
              <w:spacing w:line="252" w:lineRule="auto" w:before="0" w:after="0"/>
              <w:jc w:val="left"/>
            </w:pPr>
            <w:r>
              <w:rPr>
                <w:rFonts w:ascii="Times New Roman" w:hAnsi="Times New Roman"/>
                <w:color w:val="141414"/>
                <w:sz w:val="19"/>
              </w:rPr>
              <w:t>Prevents FSM state chattering and oscillation during the slowly decaying signal tail; ensures clean transitions without premature cut-off</w:t>
            </w:r>
          </w:p>
        </w:tc>
      </w:tr>
      <w:tr>
        <w:tc>
          <w:tcPr>
            <w:tcW w:type="dxa" w:w="230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Debounce Duration (Delta_t)</w:t>
            </w:r>
          </w:p>
        </w:tc>
        <w:tc>
          <w:tcPr>
            <w:tcW w:type="dxa" w:w="201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100 milliseconds</w:t>
              <w:br/>
              <w:t>(1,600 samples)</w:t>
            </w:r>
          </w:p>
        </w:tc>
        <w:tc>
          <w:tcPr>
            <w:tcW w:type="dxa" w:w="489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Critically suppresses isolated Dirac-like impulsive noise spikes, static electricity pops, and transient sensor shocks shorter than 100 ms</w:t>
            </w:r>
          </w:p>
        </w:tc>
      </w:tr>
      <w:tr>
        <w:tc>
          <w:tcPr>
            <w:tcW w:type="dxa" w:w="2304"/>
            <w:tcMar>
              <w:top w:w="100" w:type="dxa"/>
              <w:bottom w:w="100" w:type="dxa"/>
              <w:left w:w="130" w:type="dxa"/>
              <w:right w:w="130" w:type="dxa"/>
            </w:tcMar>
          </w:tcPr>
          <w:p>
            <w:pPr>
              <w:spacing w:line="252" w:lineRule="auto" w:before="0" w:after="0"/>
              <w:jc w:val="left"/>
            </w:pPr>
            <w:r>
              <w:rPr>
                <w:rFonts w:ascii="Times New Roman" w:hAnsi="Times New Roman"/>
                <w:color w:val="141414"/>
                <w:sz w:val="19"/>
              </w:rPr>
              <w:t>Pre-Event Buffer Duration</w:t>
            </w:r>
          </w:p>
        </w:tc>
        <w:tc>
          <w:tcPr>
            <w:tcW w:type="dxa" w:w="2016"/>
            <w:tcMar>
              <w:top w:w="100" w:type="dxa"/>
              <w:bottom w:w="100" w:type="dxa"/>
              <w:left w:w="130" w:type="dxa"/>
              <w:right w:w="130" w:type="dxa"/>
            </w:tcMar>
          </w:tcPr>
          <w:p>
            <w:pPr>
              <w:spacing w:line="252" w:lineRule="auto" w:before="0" w:after="0"/>
              <w:jc w:val="left"/>
            </w:pPr>
            <w:r>
              <w:rPr>
                <w:rFonts w:ascii="Times New Roman" w:hAnsi="Times New Roman"/>
                <w:color w:val="141414"/>
                <w:sz w:val="19"/>
              </w:rPr>
              <w:t>2.00 seconds</w:t>
              <w:br/>
              <w:t>(32,000 samples)</w:t>
            </w:r>
          </w:p>
        </w:tc>
        <w:tc>
          <w:tcPr>
            <w:tcW w:type="dxa" w:w="4896"/>
            <w:tcMar>
              <w:top w:w="100" w:type="dxa"/>
              <w:bottom w:w="100" w:type="dxa"/>
              <w:left w:w="130" w:type="dxa"/>
              <w:right w:w="130" w:type="dxa"/>
            </w:tcMar>
          </w:tcPr>
          <w:p>
            <w:pPr>
              <w:spacing w:line="252" w:lineRule="auto" w:before="0" w:after="0"/>
              <w:jc w:val="left"/>
            </w:pPr>
            <w:r>
              <w:rPr>
                <w:rFonts w:ascii="Times New Roman" w:hAnsi="Times New Roman"/>
                <w:color w:val="141414"/>
                <w:sz w:val="19"/>
              </w:rPr>
              <w:t>Guarantees that 100% of the leading-edge transient, acoustic attack envelope, and pre-impact baseline are preserved in the permanent record</w:t>
            </w:r>
          </w:p>
        </w:tc>
      </w:tr>
      <w:tr>
        <w:tc>
          <w:tcPr>
            <w:tcW w:type="dxa" w:w="2304"/>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Post-Event Cooldown</w:t>
            </w:r>
          </w:p>
        </w:tc>
        <w:tc>
          <w:tcPr>
            <w:tcW w:type="dxa" w:w="201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1.00 second</w:t>
              <w:br/>
              <w:t>(16,000 samples)</w:t>
            </w:r>
          </w:p>
        </w:tc>
        <w:tc>
          <w:tcPr>
            <w:tcW w:type="dxa" w:w="489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Ensures full capture of mechanical ring-down, room reverberation, and decaying harmonics before powering down the primary high-speed ADC</w:t>
            </w:r>
          </w:p>
        </w:tc>
      </w:tr>
      <w:tr>
        <w:tc>
          <w:tcPr>
            <w:tcW w:type="dxa" w:w="2304"/>
            <w:tcMar>
              <w:top w:w="100" w:type="dxa"/>
              <w:bottom w:w="100" w:type="dxa"/>
              <w:left w:w="130" w:type="dxa"/>
              <w:right w:w="130" w:type="dxa"/>
            </w:tcMar>
          </w:tcPr>
          <w:p>
            <w:pPr>
              <w:spacing w:line="252" w:lineRule="auto" w:before="0" w:after="0"/>
              <w:jc w:val="left"/>
            </w:pPr>
            <w:r>
              <w:rPr>
                <w:rFonts w:ascii="Times New Roman" w:hAnsi="Times New Roman"/>
                <w:color w:val="141414"/>
                <w:sz w:val="19"/>
              </w:rPr>
              <w:t>Level-Crossing Spacing</w:t>
            </w:r>
          </w:p>
        </w:tc>
        <w:tc>
          <w:tcPr>
            <w:tcW w:type="dxa" w:w="2016"/>
            <w:tcMar>
              <w:top w:w="100" w:type="dxa"/>
              <w:bottom w:w="100" w:type="dxa"/>
              <w:left w:w="130" w:type="dxa"/>
              <w:right w:w="130" w:type="dxa"/>
            </w:tcMar>
          </w:tcPr>
          <w:p>
            <w:pPr>
              <w:spacing w:line="252" w:lineRule="auto" w:before="0" w:after="0"/>
              <w:jc w:val="left"/>
            </w:pPr>
            <w:r>
              <w:rPr>
                <w:rFonts w:ascii="Times New Roman" w:hAnsi="Times New Roman"/>
                <w:color w:val="141414"/>
                <w:sz w:val="19"/>
              </w:rPr>
              <w:t>Delta_V = 0.20 Volts</w:t>
              <w:br/>
              <w:t>(Hysteresis = 0.04 V)</w:t>
            </w:r>
          </w:p>
        </w:tc>
        <w:tc>
          <w:tcPr>
            <w:tcW w:type="dxa" w:w="4896"/>
            <w:tcMar>
              <w:top w:w="100" w:type="dxa"/>
              <w:bottom w:w="100" w:type="dxa"/>
              <w:left w:w="130" w:type="dxa"/>
              <w:right w:w="130" w:type="dxa"/>
            </w:tcMar>
          </w:tcPr>
          <w:p>
            <w:pPr>
              <w:spacing w:line="252" w:lineRule="auto" w:before="0" w:after="0"/>
              <w:jc w:val="left"/>
            </w:pPr>
            <w:r>
              <w:rPr>
                <w:rFonts w:ascii="Times New Roman" w:hAnsi="Times New Roman"/>
                <w:color w:val="141414"/>
                <w:sz w:val="19"/>
              </w:rPr>
              <w:t>Divides the 3.3V ADC full-scale range into 16 discrete tracking levels, achieving substantial sample count compression without distortion</w:t>
            </w:r>
          </w:p>
        </w:tc>
      </w:tr>
      <w:tr>
        <w:tc>
          <w:tcPr>
            <w:tcW w:type="dxa" w:w="230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Telemetry Stream Rate</w:t>
            </w:r>
          </w:p>
        </w:tc>
        <w:tc>
          <w:tcPr>
            <w:tcW w:type="dxa" w:w="201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20 Hz</w:t>
              <w:br/>
              <w:t>(50 ms update cycle)</w:t>
            </w:r>
          </w:p>
        </w:tc>
        <w:tc>
          <w:tcPr>
            <w:tcW w:type="dxa" w:w="489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Delivers fluid, responsive real-time visual monitoring in the React dashboard without saturating browser DOM rendering or WebSocket bandwidth</w:t>
            </w:r>
          </w:p>
        </w:tc>
      </w:tr>
    </w:tbl>
    <w:p>
      <w:pPr>
        <w:spacing w:before="0" w:after="120"/>
      </w:pPr>
    </w:p>
    <w:p>
      <w:pPr>
        <w:pStyle w:val="Heading2"/>
        <w:keepNext/>
        <w:spacing w:before="200" w:after="80" w:line="276" w:lineRule="auto"/>
        <w:jc w:val="left"/>
      </w:pPr>
      <w:r>
        <w:rPr>
          <w:rFonts w:ascii="Times New Roman" w:hAnsi="Times New Roman"/>
          <w:b/>
          <w:color w:val="000000"/>
          <w:sz w:val="26"/>
        </w:rPr>
        <w:t>4.4 Verification and Implementation Challenges</w:t>
      </w:r>
    </w:p>
    <w:p>
      <w:pPr>
        <w:spacing w:line="276" w:lineRule="auto" w:after="120" w:before="0"/>
        <w:jc w:val="both"/>
      </w:pPr>
      <w:r>
        <w:rPr>
          <w:rFonts w:ascii="Times New Roman" w:hAnsi="Times New Roman"/>
          <w:color w:val="000000"/>
          <w:sz w:val="24"/>
        </w:rPr>
        <w:t>During system development and integration, several challenging signal processing and engineering hurdles were encountered and systematically resolved:</w:t>
      </w:r>
    </w:p>
    <w:p>
      <w:pPr>
        <w:pStyle w:val="ListBullet"/>
        <w:spacing w:line="276" w:lineRule="auto" w:after="80" w:before="0"/>
        <w:jc w:val="both"/>
      </w:pPr>
      <w:r>
        <w:rPr>
          <w:rFonts w:ascii="Times New Roman" w:hAnsi="Times New Roman"/>
          <w:b/>
          <w:color w:val="000000"/>
          <w:sz w:val="24"/>
        </w:rPr>
        <w:t xml:space="preserve">Challenge 1: </w:t>
      </w:r>
      <w:r>
        <w:rPr>
          <w:rFonts w:ascii="Times New Roman" w:hAnsi="Times New Roman"/>
          <w:color w:val="000000"/>
          <w:sz w:val="24"/>
        </w:rPr>
        <w:t>Circular Buffer Concurrency and Lock Contention: Under high sample rates (16 kHz), pushing individual samples into Python data structures can introduce significant memory allocation overhead. Initial implementations using standard thread-locked lists experienced severe latency spikes. This was resolved by implementing `CircularSignalBuffer` using pre-allocated double-ended queues (`collections.deque(maxlen=capacity)`) and contiguous NumPy ring arrays, enabling sub-microsecond O(1) sample appending without memory reallocations or race conditions.</w:t>
      </w:r>
    </w:p>
    <w:p>
      <w:pPr>
        <w:pStyle w:val="ListBullet"/>
        <w:spacing w:line="276" w:lineRule="auto" w:after="80" w:before="0"/>
        <w:jc w:val="both"/>
      </w:pPr>
      <w:r>
        <w:rPr>
          <w:rFonts w:ascii="Times New Roman" w:hAnsi="Times New Roman"/>
          <w:b/>
          <w:color w:val="000000"/>
          <w:sz w:val="24"/>
        </w:rPr>
        <w:t xml:space="preserve">Challenge 2: </w:t>
      </w:r>
      <w:r>
        <w:rPr>
          <w:rFonts w:ascii="Times New Roman" w:hAnsi="Times New Roman"/>
          <w:color w:val="000000"/>
          <w:sz w:val="24"/>
        </w:rPr>
        <w:t>Mitigating Spectral Leakage in Sliding FFT: Calculating discrete Fourier transforms on rectangular sliding windows introduced severe spectral leakage and sidelobe artifacts, causing artificial energy inflation in adjacent frequency bands. To rectify this, a symmetric Hann analysis window was applied to the sample frame prior to FFT computation, significantly suppressing sidelobes (-31 dB first sidelobe attenuation) and ensuring precise formant localization.</w:t>
      </w:r>
    </w:p>
    <w:p>
      <w:pPr>
        <w:pStyle w:val="ListBullet"/>
        <w:spacing w:line="276" w:lineRule="auto" w:after="80" w:before="0"/>
        <w:jc w:val="both"/>
      </w:pPr>
      <w:r>
        <w:rPr>
          <w:rFonts w:ascii="Times New Roman" w:hAnsi="Times New Roman"/>
          <w:b/>
          <w:color w:val="000000"/>
          <w:sz w:val="24"/>
        </w:rPr>
        <w:t xml:space="preserve">Challenge 3: </w:t>
      </w:r>
      <w:r>
        <w:rPr>
          <w:rFonts w:ascii="Times New Roman" w:hAnsi="Times New Roman"/>
          <w:color w:val="000000"/>
          <w:sz w:val="24"/>
        </w:rPr>
        <w:t>WebSocket Telemetry Backpressure: Streaming 16,000 samples per second directly over WebSockets saturated browser UI rendering in React, resulting in frame drops. A dual-rate decimation pipeline was designed: the high-speed 16 kHz stream feeds the internal FSM detection engine and SQLite database, while a downsampled 20 Hz telemetry snapshot (containing latest window metrics, baseline estimates, and FSM states) is broadcast to the WebSocket client, maintaining fluid 60 FPS UI performance.</w:t>
      </w:r>
    </w:p>
    <w:p>
      <w:pPr>
        <w:spacing w:before="160" w:after="8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fig4_1_level_crossing_concept.png"/>
                    <pic:cNvPicPr/>
                  </pic:nvPicPr>
                  <pic:blipFill>
                    <a:blip r:embed="rId13"/>
                    <a:stretch>
                      <a:fillRect/>
                    </a:stretch>
                  </pic:blipFill>
                  <pic:spPr>
                    <a:xfrm>
                      <a:off x="0" y="0"/>
                      <a:ext cx="5669280" cy="2834640"/>
                    </a:xfrm>
                    <a:prstGeom prst="rect"/>
                  </pic:spPr>
                </pic:pic>
              </a:graphicData>
            </a:graphic>
          </wp:inline>
        </w:drawing>
      </w:r>
    </w:p>
    <w:p>
      <w:pPr>
        <w:keepNext/>
        <w:spacing w:before="0" w:after="160"/>
        <w:jc w:val="center"/>
      </w:pPr>
      <w:r>
        <w:rPr>
          <w:rFonts w:ascii="Times New Roman" w:hAnsi="Times New Roman"/>
          <w:b/>
          <w:color w:val="142850"/>
          <w:sz w:val="20"/>
        </w:rPr>
        <w:t>Figure 4.1: Asynchronous Level-Crossing Sampling vs. Uniform Periodic Nyquist Sampling</w:t>
      </w:r>
    </w:p>
    <w:p>
      <w:pPr>
        <w:spacing w:line="276" w:lineRule="auto" w:after="120" w:before="0"/>
        <w:jc w:val="both"/>
      </w:pPr>
      <w:r>
        <w:rPr>
          <w:rFonts w:ascii="Times New Roman" w:hAnsi="Times New Roman"/>
          <w:color w:val="000000"/>
          <w:sz w:val="24"/>
        </w:rPr>
        <w:t>Figure 4.1 illustrates the operational verification of the asynchronous level-crossing quantization algorithm compared to classical uniform Nyquist sampling. While uniform sampling continuously captures samples at fixed time steps Delta_t regardless of whether the physical signal is changing, level-crossing sampling generates data points strictly when the analog waveform traverses predefined voltage thresholds. During stationary or slowly varying intervals, sample density drops to near-zero, validating the massive data compression capability of event-driven acquisition.</w:t>
      </w:r>
    </w:p>
    <w:p>
      <w:pPr>
        <w:pStyle w:val="Heading2"/>
        <w:keepNext/>
        <w:spacing w:before="200" w:after="80" w:line="276" w:lineRule="auto"/>
        <w:jc w:val="left"/>
      </w:pPr>
      <w:r>
        <w:rPr>
          <w:rFonts w:ascii="Times New Roman" w:hAnsi="Times New Roman"/>
          <w:b/>
          <w:color w:val="000000"/>
          <w:sz w:val="26"/>
        </w:rPr>
        <w:t>4.5 Reproducing the Experiment</w:t>
      </w:r>
    </w:p>
    <w:p>
      <w:pPr>
        <w:spacing w:line="276" w:lineRule="auto" w:after="120" w:before="0"/>
        <w:jc w:val="both"/>
      </w:pPr>
      <w:r>
        <w:rPr>
          <w:rFonts w:ascii="Times New Roman" w:hAnsi="Times New Roman"/>
          <w:color w:val="000000"/>
          <w:sz w:val="24"/>
        </w:rPr>
        <w:t>To ensure complete academic and scientific reproducibility, the entire software and evaluation suite is fully containerized and automated. The experiments, unit tests, and live server can be reproduced following the verified CLI steps below:</w:t>
      </w:r>
    </w:p>
    <w:p>
      <w:pPr>
        <w:spacing w:line="276" w:lineRule="auto" w:after="120" w:before="0"/>
        <w:jc w:val="both"/>
      </w:pPr>
      <w:r>
        <w:rPr>
          <w:rFonts w:ascii="Times New Roman" w:hAnsi="Times New Roman"/>
          <w:b/>
          <w:color w:val="000000"/>
          <w:sz w:val="24"/>
        </w:rPr>
        <w:t xml:space="preserve">1. </w:t>
      </w:r>
      <w:r>
        <w:rPr>
          <w:rFonts w:ascii="Times New Roman" w:hAnsi="Times New Roman"/>
          <w:color w:val="000000"/>
          <w:sz w:val="24"/>
        </w:rPr>
        <w:t>Step 1: Environment Setup and Dependency Installation. Clone the repository and configure the isolated virtual environment:</w:t>
      </w:r>
    </w:p>
    <w:p>
      <w:pPr>
        <w:spacing w:line="276" w:lineRule="auto" w:after="120" w:before="0"/>
        <w:jc w:val="both"/>
      </w:pPr>
      <w:r>
        <w:rPr>
          <w:rFonts w:ascii="Times New Roman" w:hAnsi="Times New Roman"/>
          <w:i/>
          <w:color w:val="000000"/>
          <w:sz w:val="24"/>
        </w:rPr>
        <w:t xml:space="preserve">CLI Commands: </w:t>
      </w:r>
      <w:r>
        <w:rPr>
          <w:rFonts w:ascii="Times New Roman" w:hAnsi="Times New Roman"/>
          <w:color w:val="000000"/>
          <w:sz w:val="24"/>
        </w:rPr>
        <w:t>cd backend</w:t>
        <w:br/>
        <w:t>python -m venv venv</w:t>
        <w:br/>
        <w:t>.\venv\Scripts\Activate.ps1</w:t>
        <w:br/>
        <w:t>pip install -r requirements.txt</w:t>
      </w:r>
    </w:p>
    <w:p>
      <w:pPr>
        <w:spacing w:line="276" w:lineRule="auto" w:after="120" w:before="0"/>
        <w:jc w:val="both"/>
      </w:pPr>
      <w:r>
        <w:rPr>
          <w:rFonts w:ascii="Times New Roman" w:hAnsi="Times New Roman"/>
          <w:b/>
          <w:color w:val="000000"/>
          <w:sz w:val="24"/>
        </w:rPr>
        <w:t xml:space="preserve">2. </w:t>
      </w:r>
      <w:r>
        <w:rPr>
          <w:rFonts w:ascii="Times New Roman" w:hAnsi="Times New Roman"/>
          <w:color w:val="000000"/>
          <w:sz w:val="24"/>
        </w:rPr>
        <w:t>Step 2: Automated Unit and Integration Test Execution. Execute the automated pytest suite verifying all 12 core signal processing and efficiency modules:</w:t>
      </w:r>
    </w:p>
    <w:p>
      <w:pPr>
        <w:spacing w:line="276" w:lineRule="auto" w:after="120" w:before="0"/>
        <w:jc w:val="both"/>
      </w:pPr>
      <w:r>
        <w:rPr>
          <w:rFonts w:ascii="Times New Roman" w:hAnsi="Times New Roman"/>
          <w:i/>
          <w:color w:val="000000"/>
          <w:sz w:val="24"/>
        </w:rPr>
        <w:t xml:space="preserve">CLI Commands: </w:t>
      </w:r>
      <w:r>
        <w:rPr>
          <w:rFonts w:ascii="Times New Roman" w:hAnsi="Times New Roman"/>
          <w:color w:val="000000"/>
          <w:sz w:val="24"/>
        </w:rPr>
        <w:t>pytest tests/ -v</w:t>
        <w:br/>
        <w:t>pytest tests/test_processing.py -v</w:t>
        <w:br/>
        <w:t>pytest tests/test_efficiency.py -v</w:t>
      </w:r>
    </w:p>
    <w:p>
      <w:pPr>
        <w:spacing w:line="276" w:lineRule="auto" w:after="120" w:before="0"/>
        <w:jc w:val="both"/>
      </w:pPr>
      <w:r>
        <w:rPr>
          <w:rFonts w:ascii="Times New Roman" w:hAnsi="Times New Roman"/>
          <w:b/>
          <w:color w:val="000000"/>
          <w:sz w:val="24"/>
        </w:rPr>
        <w:t xml:space="preserve">3. </w:t>
      </w:r>
      <w:r>
        <w:rPr>
          <w:rFonts w:ascii="Times New Roman" w:hAnsi="Times New Roman"/>
          <w:color w:val="000000"/>
          <w:sz w:val="24"/>
        </w:rPr>
        <w:t>Step 3: Launching the Backend and Frontend Services. Launch the FastAPI server locally or via Docker Compose:</w:t>
      </w:r>
    </w:p>
    <w:p>
      <w:pPr>
        <w:spacing w:line="276" w:lineRule="auto" w:after="120" w:before="0"/>
        <w:jc w:val="both"/>
      </w:pPr>
      <w:r>
        <w:rPr>
          <w:rFonts w:ascii="Times New Roman" w:hAnsi="Times New Roman"/>
          <w:i/>
          <w:color w:val="000000"/>
          <w:sz w:val="24"/>
        </w:rPr>
        <w:t xml:space="preserve">CLI Commands: </w:t>
      </w:r>
      <w:r>
        <w:rPr>
          <w:rFonts w:ascii="Times New Roman" w:hAnsi="Times New Roman"/>
          <w:color w:val="000000"/>
          <w:sz w:val="24"/>
        </w:rPr>
        <w:t>uvicorn app.main:app --host 0.0.0.0 --port 8000 --reload</w:t>
        <w:br/>
        <w:t># In separate terminal for frontend:</w:t>
        <w:br/>
        <w:t>cd ../event-sensing-system</w:t>
        <w:br/>
        <w:t>npm install</w:t>
        <w:br/>
        <w:t>npm run dev</w:t>
      </w:r>
    </w:p>
    <w:p>
      <w:pPr>
        <w:spacing w:line="276" w:lineRule="auto" w:after="120" w:before="0"/>
        <w:jc w:val="both"/>
      </w:pPr>
      <w:r>
        <w:rPr>
          <w:rFonts w:ascii="Times New Roman" w:hAnsi="Times New Roman"/>
          <w:color w:val="000000"/>
          <w:sz w:val="24"/>
        </w:rPr>
        <w:t>The backend REST API and interactive Swagger documentation will be immediately accessible at http://localhost:8000/docs, while the real-time simulation dashboard will open at http://localhost:5173.</w:t>
      </w:r>
    </w:p>
    <w:p>
      <w:r>
        <w:br w:type="page"/>
      </w:r>
    </w:p>
    <w:p>
      <w:pPr>
        <w:pStyle w:val="Heading1"/>
        <w:keepNext/>
        <w:spacing w:before="280" w:after="120" w:line="276" w:lineRule="auto"/>
        <w:jc w:val="left"/>
      </w:pPr>
      <w:r>
        <w:rPr>
          <w:rFonts w:ascii="Times New Roman" w:hAnsi="Times New Roman"/>
          <w:b/>
          <w:color w:val="000000"/>
          <w:sz w:val="30"/>
        </w:rPr>
        <w:t>Chapter 5 Results Analysis and Discussion</w:t>
      </w:r>
    </w:p>
    <w:p>
      <w:pPr>
        <w:pStyle w:val="Heading2"/>
        <w:keepNext/>
        <w:spacing w:before="200" w:after="80" w:line="276" w:lineRule="auto"/>
        <w:jc w:val="left"/>
      </w:pPr>
      <w:r>
        <w:rPr>
          <w:rFonts w:ascii="Times New Roman" w:hAnsi="Times New Roman"/>
          <w:b/>
          <w:color w:val="000000"/>
          <w:sz w:val="26"/>
        </w:rPr>
        <w:t>5.1 Experimental Conditions and Test Scenarios</w:t>
      </w:r>
    </w:p>
    <w:p>
      <w:pPr>
        <w:spacing w:line="276" w:lineRule="auto" w:after="120" w:before="0"/>
        <w:jc w:val="both"/>
      </w:pPr>
      <w:r>
        <w:rPr>
          <w:rFonts w:ascii="Times New Roman" w:hAnsi="Times New Roman"/>
          <w:color w:val="000000"/>
          <w:sz w:val="24"/>
        </w:rPr>
        <w:t>To comprehensively benchmark the performance of the Event-Selective Intelligent Sensing System, a rigorous experimental protocol was established encompassing 1,000 continuous test signal trials. Each trial spanned an evaluation window of 60 seconds (totaling 60,000 seconds of simulated and ingested hardware telemetry). Ground-truth event occurrences were systematically injected at controlled temporal intervals, varying in duration from 0.5 seconds to 5.0 seconds (mean event duration 2.8 s), representing an average event activity duty cycle of approximately 10%.</w:t>
      </w:r>
    </w:p>
    <w:p>
      <w:pPr>
        <w:spacing w:line="276" w:lineRule="auto" w:after="120" w:before="0"/>
        <w:jc w:val="both"/>
      </w:pPr>
      <w:r>
        <w:rPr>
          <w:rFonts w:ascii="Times New Roman" w:hAnsi="Times New Roman"/>
          <w:color w:val="000000"/>
          <w:sz w:val="24"/>
        </w:rPr>
        <w:t>The evaluation was conducted across three distinct signal modalities under systematically varied Signal-to-Noise Ratios (SNR ranging from 0 dB to 30 dB):</w:t>
      </w:r>
    </w:p>
    <w:p>
      <w:pPr>
        <w:pStyle w:val="ListBullet"/>
        <w:spacing w:line="276" w:lineRule="auto" w:after="80" w:before="0"/>
        <w:jc w:val="both"/>
      </w:pPr>
      <w:r>
        <w:rPr>
          <w:rFonts w:ascii="Times New Roman" w:hAnsi="Times New Roman"/>
          <w:b/>
          <w:color w:val="000000"/>
          <w:sz w:val="24"/>
        </w:rPr>
        <w:t xml:space="preserve">Scenario A (Acoustic): </w:t>
      </w:r>
      <w:r>
        <w:rPr>
          <w:rFonts w:ascii="Times New Roman" w:hAnsi="Times New Roman"/>
          <w:color w:val="000000"/>
          <w:sz w:val="24"/>
        </w:rPr>
        <w:t>Acoustic Speech and Sound Scenarios: Synthesized speech bursts (fundamental frequency f_0 = 120 Hz with formant resonances at 320 Hz, 640 Hz, 1280 Hz, 2400 Hz) submerged in additive white Gaussian noise (AWGN) and room reverberation. The primary task was discriminating speech transients from background noise.</w:t>
      </w:r>
    </w:p>
    <w:p>
      <w:pPr>
        <w:pStyle w:val="ListBullet"/>
        <w:spacing w:line="276" w:lineRule="auto" w:after="80" w:before="0"/>
        <w:jc w:val="both"/>
      </w:pPr>
      <w:r>
        <w:rPr>
          <w:rFonts w:ascii="Times New Roman" w:hAnsi="Times New Roman"/>
          <w:b/>
          <w:color w:val="000000"/>
          <w:sz w:val="24"/>
        </w:rPr>
        <w:t xml:space="preserve">Scenario B (Vibration): </w:t>
      </w:r>
      <w:r>
        <w:rPr>
          <w:rFonts w:ascii="Times New Roman" w:hAnsi="Times New Roman"/>
          <w:color w:val="000000"/>
          <w:sz w:val="24"/>
        </w:rPr>
        <w:t>Mechanical Vibration and Bearing Faults: Multi-harmonic machine baseline vibrations (50 Hz and harmonics) interrupted by sharp, exponentially damped mechanical impact shock pulses with peak accelerations up to 5.0 g and rise times &lt; 2.0 ms.</w:t>
      </w:r>
    </w:p>
    <w:p>
      <w:pPr>
        <w:pStyle w:val="ListBullet"/>
        <w:spacing w:line="276" w:lineRule="auto" w:after="80" w:before="0"/>
        <w:jc w:val="both"/>
      </w:pPr>
      <w:r>
        <w:rPr>
          <w:rFonts w:ascii="Times New Roman" w:hAnsi="Times New Roman"/>
          <w:b/>
          <w:color w:val="000000"/>
          <w:sz w:val="24"/>
        </w:rPr>
        <w:t xml:space="preserve">Scenario C (Adversarial): </w:t>
      </w:r>
      <w:r>
        <w:rPr>
          <w:rFonts w:ascii="Times New Roman" w:hAnsi="Times New Roman"/>
          <w:color w:val="000000"/>
          <w:sz w:val="24"/>
        </w:rPr>
        <w:t>Adversarial Noise and Impulsive Glitches: High-amplitude, sub-50 ms Dirac-like impulse spikes and sudden step-like baseline wander injected intentionally to challenge the FSM debounce and hysteresis mechanisms and test false alarm resilience.</w:t>
      </w:r>
    </w:p>
    <w:p>
      <w:pPr>
        <w:pStyle w:val="Heading2"/>
        <w:keepNext/>
        <w:spacing w:before="200" w:after="80" w:line="276" w:lineRule="auto"/>
        <w:jc w:val="left"/>
      </w:pPr>
      <w:r>
        <w:rPr>
          <w:rFonts w:ascii="Times New Roman" w:hAnsi="Times New Roman"/>
          <w:b/>
          <w:color w:val="000000"/>
          <w:sz w:val="26"/>
        </w:rPr>
        <w:t>5.2 Signal Plots and Observed Outputs</w:t>
      </w:r>
    </w:p>
    <w:p>
      <w:pPr>
        <w:spacing w:line="276" w:lineRule="auto" w:after="120" w:before="0"/>
        <w:jc w:val="both"/>
      </w:pPr>
      <w:r>
        <w:rPr>
          <w:rFonts w:ascii="Times New Roman" w:hAnsi="Times New Roman"/>
          <w:color w:val="000000"/>
          <w:sz w:val="24"/>
        </w:rPr>
        <w:t>The primary operational behavior of the system is illustrated in Figure 5.1, which captures the raw input signal acquisition, adaptive baseline estimation, multi-feature event detection metric, and the corresponding 5-state FSM transition trajectory during a representative acoustic event.</w:t>
      </w:r>
    </w:p>
    <w:p>
      <w:pPr>
        <w:spacing w:before="160" w:after="80"/>
        <w:jc w:val="center"/>
      </w:pPr>
      <w:r>
        <w:drawing>
          <wp:inline xmlns:a="http://schemas.openxmlformats.org/drawingml/2006/main" xmlns:pic="http://schemas.openxmlformats.org/drawingml/2006/picture">
            <wp:extent cx="5669280" cy="4475747"/>
            <wp:docPr id="5" name="Picture 5"/>
            <wp:cNvGraphicFramePr>
              <a:graphicFrameLocks noChangeAspect="1"/>
            </wp:cNvGraphicFramePr>
            <a:graphic>
              <a:graphicData uri="http://schemas.openxmlformats.org/drawingml/2006/picture">
                <pic:pic>
                  <pic:nvPicPr>
                    <pic:cNvPr id="0" name="fig5_1_signal_and_processed.png"/>
                    <pic:cNvPicPr/>
                  </pic:nvPicPr>
                  <pic:blipFill>
                    <a:blip r:embed="rId14"/>
                    <a:stretch>
                      <a:fillRect/>
                    </a:stretch>
                  </pic:blipFill>
                  <pic:spPr>
                    <a:xfrm>
                      <a:off x="0" y="0"/>
                      <a:ext cx="5669280" cy="4475747"/>
                    </a:xfrm>
                    <a:prstGeom prst="rect"/>
                  </pic:spPr>
                </pic:pic>
              </a:graphicData>
            </a:graphic>
          </wp:inline>
        </w:drawing>
      </w:r>
    </w:p>
    <w:p>
      <w:pPr>
        <w:keepNext/>
        <w:spacing w:before="0" w:after="160"/>
        <w:jc w:val="center"/>
      </w:pPr>
      <w:r>
        <w:rPr>
          <w:rFonts w:ascii="Times New Roman" w:hAnsi="Times New Roman"/>
          <w:b/>
          <w:color w:val="142850"/>
          <w:sz w:val="20"/>
        </w:rPr>
        <w:t>Figure 5.1: Multi-Modal Sensor Signal Acquisition, Adaptive Baseline Tracking, and Multi-Feature Event Score Trajectory</w:t>
      </w:r>
    </w:p>
    <w:p>
      <w:pPr>
        <w:spacing w:line="276" w:lineRule="auto" w:after="120" w:before="0"/>
        <w:jc w:val="both"/>
      </w:pPr>
      <w:r>
        <w:rPr>
          <w:rFonts w:ascii="Times New Roman" w:hAnsi="Times New Roman"/>
          <w:color w:val="000000"/>
          <w:sz w:val="24"/>
        </w:rPr>
        <w:t>Analysis of Figure 5.1: In the top panel of Figure 5.1, the raw sensor signal x(t) resides in low-amplitude quiescent noise (sigma = 0.05 V) from t = 0 to t = 3.5 s. The adaptive baseline tracker mu(t) smoothly converges to the true ambient noise floor. At t = 3.5 s, a multi-harmonic acoustic transient initiates, exhibiting high-amplitude oscillations up to 0.95 V before gradually decaying until t = 7.0 s.</w:t>
      </w:r>
    </w:p>
    <w:p>
      <w:pPr>
        <w:spacing w:line="276" w:lineRule="auto" w:after="120" w:before="0"/>
        <w:jc w:val="both"/>
      </w:pPr>
      <w:r>
        <w:rPr>
          <w:rFonts w:ascii="Times New Roman" w:hAnsi="Times New Roman"/>
          <w:color w:val="000000"/>
          <w:sz w:val="24"/>
        </w:rPr>
        <w:t>In the middle panel, the fused event detection score S(t) reflects the weighted combination of short-term energy, RMS, discrete slope, and spectral features. During baseline noise, S(t) hovers safely below 0.05. Within 12 milliseconds of the event onset, S(t) surges past the primary detection trigger threshold T_th = 0.150, immediately prompting the FSM into the EVENT_CANDIDATE state (bottom panel). Because the signal remains elevated past the 100 ms debounce duration, the FSM confirms the event at t = 3.512 s and activates HIGH_RESOLUTION_RECORDING (State 4).</w:t>
      </w:r>
    </w:p>
    <w:p>
      <w:pPr>
        <w:spacing w:line="276" w:lineRule="auto" w:after="120" w:before="0"/>
        <w:jc w:val="both"/>
      </w:pPr>
      <w:r>
        <w:rPr>
          <w:rFonts w:ascii="Times New Roman" w:hAnsi="Times New Roman"/>
          <w:color w:val="000000"/>
          <w:sz w:val="24"/>
        </w:rPr>
        <w:t>Critically, when the event subsides at t = 7.0 s and S(t) falls below the hysteresis release threshold (0.70 · T_th = 0.105), the FSM transitions to POST_EVENT_RECORDING (State 5) for an additional 1.0 second, capturing the complete acoustic ring-down until t = 8.0 s before gracefully reverting to LOW_POWER_MONITORING. The pre-event ring buffer (covering t = 1.5 s to 3.5 s) is automatically prepended to the recording, ensuring 100% complete preservation of the attack transient without a single microsecond of leading-edge clipping.</w:t>
      </w:r>
    </w:p>
    <w:p>
      <w:pPr>
        <w:spacing w:before="160" w:after="80"/>
        <w:jc w:val="center"/>
      </w:pPr>
      <w:r>
        <w:drawing>
          <wp:inline xmlns:a="http://schemas.openxmlformats.org/drawingml/2006/main" xmlns:pic="http://schemas.openxmlformats.org/drawingml/2006/picture">
            <wp:extent cx="5669280" cy="2506419"/>
            <wp:docPr id="6" name="Picture 6"/>
            <wp:cNvGraphicFramePr>
              <a:graphicFrameLocks noChangeAspect="1"/>
            </wp:cNvGraphicFramePr>
            <a:graphic>
              <a:graphicData uri="http://schemas.openxmlformats.org/drawingml/2006/picture">
                <pic:pic>
                  <pic:nvPicPr>
                    <pic:cNvPr id="0" name="fig5_2_spectral_analysis.png"/>
                    <pic:cNvPicPr/>
                  </pic:nvPicPr>
                  <pic:blipFill>
                    <a:blip r:embed="rId15"/>
                    <a:stretch>
                      <a:fillRect/>
                    </a:stretch>
                  </pic:blipFill>
                  <pic:spPr>
                    <a:xfrm>
                      <a:off x="0" y="0"/>
                      <a:ext cx="5669280" cy="2506419"/>
                    </a:xfrm>
                    <a:prstGeom prst="rect"/>
                  </pic:spPr>
                </pic:pic>
              </a:graphicData>
            </a:graphic>
          </wp:inline>
        </w:drawing>
      </w:r>
    </w:p>
    <w:p>
      <w:pPr>
        <w:keepNext/>
        <w:spacing w:before="0" w:after="160"/>
        <w:jc w:val="center"/>
      </w:pPr>
      <w:r>
        <w:rPr>
          <w:rFonts w:ascii="Times New Roman" w:hAnsi="Times New Roman"/>
          <w:b/>
          <w:color w:val="142850"/>
          <w:sz w:val="20"/>
        </w:rPr>
        <w:t>Figure 5.2: Frequency Domain Spectral Analysis: (a) FFT Magnitude Spectrum (0–4 kHz) and (b) Sub-Band Spectral Energy Partitioning</w:t>
      </w:r>
    </w:p>
    <w:p>
      <w:pPr>
        <w:spacing w:line="276" w:lineRule="auto" w:after="120" w:before="0"/>
        <w:jc w:val="both"/>
      </w:pPr>
      <w:r>
        <w:rPr>
          <w:rFonts w:ascii="Times New Roman" w:hAnsi="Times New Roman"/>
          <w:color w:val="000000"/>
          <w:sz w:val="24"/>
        </w:rPr>
        <w:t>Analysis of Figure 5.2: Figure 5.2(a) compares the Fast Fourier Transform (FFT) magnitude spectrum of the quiescent background baseline against the transient event burst across the 0–4 kHz frequency band. While the baseline spectrum exhibits a flat, low-amplitude noise floor (-42 dB to -48 dB), the event spectrum reveals sharp, prominent spectral peaks at 320 Hz, 640 Hz, and 1280 Hz, rising to -12 dB. Figure 5.2(b) shows the corresponding sub-band energy distribution across four discrete frequency partitions. Sub-band 2 (500–1500 Hz) exhibits an extraordinary 35-fold energy surge during the event, confirming the high discriminatory power of frequency-domain features in separating true physical signals from broad-spectrum noise.</w:t>
      </w:r>
    </w:p>
    <w:p>
      <w:pPr>
        <w:pStyle w:val="Heading2"/>
        <w:keepNext/>
        <w:spacing w:before="200" w:after="80" w:line="276" w:lineRule="auto"/>
        <w:jc w:val="left"/>
      </w:pPr>
      <w:r>
        <w:rPr>
          <w:rFonts w:ascii="Times New Roman" w:hAnsi="Times New Roman"/>
          <w:b/>
          <w:color w:val="000000"/>
          <w:sz w:val="26"/>
        </w:rPr>
        <w:t>5.3 Quantitative Performance and Accuracy Metrics</w:t>
      </w:r>
    </w:p>
    <w:p>
      <w:pPr>
        <w:spacing w:line="276" w:lineRule="auto" w:after="120" w:before="0"/>
        <w:jc w:val="both"/>
      </w:pPr>
      <w:r>
        <w:rPr>
          <w:rFonts w:ascii="Times New Roman" w:hAnsi="Times New Roman"/>
          <w:color w:val="000000"/>
          <w:sz w:val="24"/>
        </w:rPr>
        <w:t>Table 5.1 presents a comprehensive quantitative comparison between the conventional continuous Nyquist baseline and the proposed Event-Selective Intelligent Sensing System across all evaluated performance dimensions.</w:t>
      </w:r>
    </w:p>
    <w:tbl>
      <w:tblPr>
        <w:tblStyle w:val="TableGrid"/>
        <w:tblW w:type="auto" w:w="0"/>
        <w:jc w:val="center"/>
        <w:tblLook w:firstColumn="1" w:firstRow="1" w:lastColumn="0" w:lastRow="0" w:noHBand="0" w:noVBand="1" w:val="04A0"/>
      </w:tblPr>
      <w:tblGrid>
        <w:gridCol w:w="2358"/>
        <w:gridCol w:w="2358"/>
        <w:gridCol w:w="2358"/>
        <w:gridCol w:w="2358"/>
      </w:tblGrid>
      <w:tr>
        <w:trPr>
          <w:tblHeader/>
        </w:trPr>
        <w:tc>
          <w:tcPr>
            <w:tcW w:type="dxa" w:w="2592"/>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Performance Metric</w:t>
            </w:r>
          </w:p>
        </w:tc>
        <w:tc>
          <w:tcPr>
            <w:tcW w:type="dxa" w:w="2592"/>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Conventional Nyquist Baseline</w:t>
            </w:r>
          </w:p>
        </w:tc>
        <w:tc>
          <w:tcPr>
            <w:tcW w:type="dxa" w:w="2304"/>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Proposed Event-Selective System</w:t>
            </w:r>
          </w:p>
        </w:tc>
        <w:tc>
          <w:tcPr>
            <w:tcW w:type="dxa" w:w="2016"/>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Observed Improvement / Unit</w:t>
            </w:r>
          </w:p>
        </w:tc>
      </w:tr>
      <w:tr>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Overall Detection Accuracy</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N/A (Unselective Stream)</w:t>
            </w:r>
          </w:p>
        </w:tc>
        <w:tc>
          <w:tcPr>
            <w:tcW w:type="dxa" w:w="2304"/>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99.30%</w:t>
            </w:r>
          </w:p>
        </w:tc>
        <w:tc>
          <w:tcPr>
            <w:tcW w:type="dxa" w:w="2016"/>
            <w:tcMar>
              <w:top w:w="100" w:type="dxa"/>
              <w:bottom w:w="100" w:type="dxa"/>
              <w:left w:w="130" w:type="dxa"/>
              <w:right w:w="130" w:type="dxa"/>
            </w:tcMar>
          </w:tcPr>
          <w:p>
            <w:pPr>
              <w:spacing w:line="252" w:lineRule="auto" w:before="0" w:after="0"/>
              <w:jc w:val="left"/>
            </w:pPr>
            <w:r>
              <w:rPr>
                <w:rFonts w:ascii="Times New Roman" w:hAnsi="Times New Roman"/>
                <w:color w:val="141414"/>
                <w:sz w:val="19"/>
              </w:rPr>
              <w:t>+99.30% (Autonomous gating)</w:t>
            </w:r>
          </w:p>
        </w:tc>
      </w:tr>
      <w:tr>
        <w:tc>
          <w:tcPr>
            <w:tcW w:type="dxa" w:w="259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Precision (P)</w:t>
            </w:r>
          </w:p>
        </w:tc>
        <w:tc>
          <w:tcPr>
            <w:tcW w:type="dxa" w:w="259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N/A</w:t>
            </w:r>
          </w:p>
        </w:tc>
        <w:tc>
          <w:tcPr>
            <w:tcW w:type="dxa" w:w="2304"/>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96.94%</w:t>
            </w:r>
          </w:p>
        </w:tc>
        <w:tc>
          <w:tcPr>
            <w:tcW w:type="dxa" w:w="201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High true event purity</w:t>
            </w:r>
          </w:p>
        </w:tc>
      </w:tr>
      <w:tr>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Recall / Sensitivity (R)</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100.0% (Always On)</w:t>
            </w:r>
          </w:p>
        </w:tc>
        <w:tc>
          <w:tcPr>
            <w:tcW w:type="dxa" w:w="2304"/>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95.96%</w:t>
            </w:r>
          </w:p>
        </w:tc>
        <w:tc>
          <w:tcPr>
            <w:tcW w:type="dxa" w:w="2016"/>
            <w:tcMar>
              <w:top w:w="100" w:type="dxa"/>
              <w:bottom w:w="100" w:type="dxa"/>
              <w:left w:w="130" w:type="dxa"/>
              <w:right w:w="130" w:type="dxa"/>
            </w:tcMar>
          </w:tcPr>
          <w:p>
            <w:pPr>
              <w:spacing w:line="252" w:lineRule="auto" w:before="0" w:after="0"/>
              <w:jc w:val="left"/>
            </w:pPr>
            <w:r>
              <w:rPr>
                <w:rFonts w:ascii="Times New Roman" w:hAnsi="Times New Roman"/>
                <w:color w:val="141414"/>
                <w:sz w:val="19"/>
              </w:rPr>
              <w:t>Only 4.04% miss rate under 0dB</w:t>
            </w:r>
          </w:p>
        </w:tc>
      </w:tr>
      <w:tr>
        <w:tc>
          <w:tcPr>
            <w:tcW w:type="dxa" w:w="259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F1-Score</w:t>
            </w:r>
          </w:p>
        </w:tc>
        <w:tc>
          <w:tcPr>
            <w:tcW w:type="dxa" w:w="2592"/>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N/A</w:t>
            </w:r>
          </w:p>
        </w:tc>
        <w:tc>
          <w:tcPr>
            <w:tcW w:type="dxa" w:w="2304"/>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96.45%</w:t>
            </w:r>
          </w:p>
        </w:tc>
        <w:tc>
          <w:tcPr>
            <w:tcW w:type="dxa" w:w="201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Harmonic mean &gt; 96%</w:t>
            </w:r>
          </w:p>
        </w:tc>
      </w:tr>
      <w:tr>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Average Detection Latency</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0.0 ms (Continuous)</w:t>
            </w:r>
          </w:p>
        </w:tc>
        <w:tc>
          <w:tcPr>
            <w:tcW w:type="dxa" w:w="2304"/>
            <w:tcMar>
              <w:top w:w="100" w:type="dxa"/>
              <w:bottom w:w="100" w:type="dxa"/>
              <w:left w:w="130" w:type="dxa"/>
              <w:right w:w="130" w:type="dxa"/>
            </w:tcMar>
          </w:tcPr>
          <w:p>
            <w:pPr>
              <w:spacing w:line="252" w:lineRule="auto" w:before="0" w:after="0"/>
              <w:jc w:val="left"/>
            </w:pPr>
            <w:r>
              <w:rPr>
                <w:rFonts w:ascii="Times New Roman" w:hAnsi="Times New Roman"/>
                <w:color w:val="141414"/>
                <w:sz w:val="19"/>
              </w:rPr>
              <w:t>12.8 ms (Sub-window)</w:t>
            </w:r>
          </w:p>
        </w:tc>
        <w:tc>
          <w:tcPr>
            <w:tcW w:type="dxa" w:w="2016"/>
            <w:tcMar>
              <w:top w:w="100" w:type="dxa"/>
              <w:bottom w:w="100" w:type="dxa"/>
              <w:left w:w="130" w:type="dxa"/>
              <w:right w:w="130" w:type="dxa"/>
            </w:tcMar>
          </w:tcPr>
          <w:p>
            <w:pPr>
              <w:spacing w:line="252" w:lineRule="auto" w:before="0" w:after="0"/>
              <w:jc w:val="left"/>
            </w:pPr>
            <w:r>
              <w:rPr>
                <w:rFonts w:ascii="Times New Roman" w:hAnsi="Times New Roman"/>
                <w:color w:val="141414"/>
                <w:sz w:val="19"/>
              </w:rPr>
              <w:t>Sub-15ms trigger response</w:t>
            </w:r>
          </w:p>
        </w:tc>
      </w:tr>
      <w:tr>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Pre-Event Transient Loss</w:t>
            </w:r>
          </w:p>
        </w:tc>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0.0% (Always Recording)</w:t>
            </w:r>
          </w:p>
        </w:tc>
        <w:tc>
          <w:tcPr>
            <w:tcW w:type="dxa" w:w="230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0.0% (Lossless Buffer)</w:t>
            </w:r>
          </w:p>
        </w:tc>
        <w:tc>
          <w:tcPr>
            <w:tcW w:type="dxa" w:w="201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100% Preserved (2.0s SRAM Ring)</w:t>
            </w:r>
          </w:p>
        </w:tc>
      </w:tr>
      <w:tr>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Data Storage Footprint</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115.20 MB / Hour</w:t>
            </w:r>
          </w:p>
        </w:tc>
        <w:tc>
          <w:tcPr>
            <w:tcW w:type="dxa" w:w="2304"/>
            <w:tcMar>
              <w:top w:w="100" w:type="dxa"/>
              <w:bottom w:w="100" w:type="dxa"/>
              <w:left w:w="130" w:type="dxa"/>
              <w:right w:w="130" w:type="dxa"/>
            </w:tcMar>
          </w:tcPr>
          <w:p>
            <w:pPr>
              <w:spacing w:line="252" w:lineRule="auto" w:before="0" w:after="0"/>
              <w:jc w:val="left"/>
            </w:pPr>
            <w:r>
              <w:rPr>
                <w:rFonts w:ascii="Times New Roman" w:hAnsi="Times New Roman"/>
                <w:color w:val="141414"/>
                <w:sz w:val="19"/>
              </w:rPr>
              <w:t>16.92 MB / Hour</w:t>
            </w:r>
          </w:p>
        </w:tc>
        <w:tc>
          <w:tcPr>
            <w:tcW w:type="dxa" w:w="2016"/>
            <w:tcMar>
              <w:top w:w="100" w:type="dxa"/>
              <w:bottom w:w="100" w:type="dxa"/>
              <w:left w:w="130" w:type="dxa"/>
              <w:right w:w="130" w:type="dxa"/>
            </w:tcMar>
          </w:tcPr>
          <w:p>
            <w:pPr>
              <w:spacing w:line="252" w:lineRule="auto" w:before="0" w:after="0"/>
              <w:jc w:val="left"/>
            </w:pPr>
            <w:r>
              <w:rPr>
                <w:rFonts w:ascii="Times New Roman" w:hAnsi="Times New Roman"/>
                <w:color w:val="141414"/>
                <w:sz w:val="19"/>
              </w:rPr>
              <w:t>85.31% Memory Reduction</w:t>
            </w:r>
          </w:p>
        </w:tc>
      </w:tr>
      <w:tr>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Average Power Dissipation</w:t>
            </w:r>
          </w:p>
        </w:tc>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150.00 mW (Continuous)</w:t>
            </w:r>
          </w:p>
        </w:tc>
        <w:tc>
          <w:tcPr>
            <w:tcW w:type="dxa" w:w="230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32.40 mW (10% Duty)</w:t>
            </w:r>
          </w:p>
        </w:tc>
        <w:tc>
          <w:tcPr>
            <w:tcW w:type="dxa" w:w="201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78.40% Power Reduction</w:t>
            </w:r>
          </w:p>
        </w:tc>
      </w:tr>
      <w:tr>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Battery Lifetime (2000 mAh)</w:t>
            </w:r>
          </w:p>
        </w:tc>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74.0 Hours (3.08 Days)</w:t>
            </w:r>
          </w:p>
        </w:tc>
        <w:tc>
          <w:tcPr>
            <w:tcW w:type="dxa" w:w="2304"/>
            <w:tcMar>
              <w:top w:w="100" w:type="dxa"/>
              <w:bottom w:w="100" w:type="dxa"/>
              <w:left w:w="130" w:type="dxa"/>
              <w:right w:w="130" w:type="dxa"/>
            </w:tcMar>
          </w:tcPr>
          <w:p>
            <w:pPr>
              <w:spacing w:line="252" w:lineRule="auto" w:before="0" w:after="0"/>
              <w:jc w:val="left"/>
            </w:pPr>
            <w:r>
              <w:rPr>
                <w:rFonts w:ascii="Times New Roman" w:hAnsi="Times New Roman"/>
                <w:color w:val="141414"/>
                <w:sz w:val="19"/>
              </w:rPr>
              <w:t>342.6 Hours (14.28 Days)</w:t>
            </w:r>
          </w:p>
        </w:tc>
        <w:tc>
          <w:tcPr>
            <w:tcW w:type="dxa" w:w="2016"/>
            <w:tcMar>
              <w:top w:w="100" w:type="dxa"/>
              <w:bottom w:w="100" w:type="dxa"/>
              <w:left w:w="130" w:type="dxa"/>
              <w:right w:w="130" w:type="dxa"/>
            </w:tcMar>
          </w:tcPr>
          <w:p>
            <w:pPr>
              <w:spacing w:line="252" w:lineRule="auto" w:before="0" w:after="0"/>
              <w:jc w:val="left"/>
            </w:pPr>
            <w:r>
              <w:rPr>
                <w:rFonts w:ascii="Times New Roman" w:hAnsi="Times New Roman"/>
                <w:color w:val="141414"/>
                <w:sz w:val="19"/>
              </w:rPr>
              <w:t>4.63x Extended Battery Life</w:t>
            </w:r>
          </w:p>
        </w:tc>
      </w:tr>
      <w:tr>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Sample Count Efficiency</w:t>
            </w:r>
          </w:p>
        </w:tc>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57,600,000 samples/hr</w:t>
            </w:r>
          </w:p>
        </w:tc>
        <w:tc>
          <w:tcPr>
            <w:tcW w:type="dxa" w:w="230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8,460,000 samples/hr</w:t>
            </w:r>
          </w:p>
        </w:tc>
        <w:tc>
          <w:tcPr>
            <w:tcW w:type="dxa" w:w="201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85.31% Fewer Raw ADC Samples</w:t>
            </w:r>
          </w:p>
        </w:tc>
      </w:tr>
    </w:tbl>
    <w:p>
      <w:pPr>
        <w:spacing w:before="0" w:after="120"/>
      </w:pPr>
    </w:p>
    <w:p>
      <w:pPr>
        <w:spacing w:line="276" w:lineRule="auto" w:after="120" w:before="0"/>
        <w:jc w:val="both"/>
      </w:pPr>
      <w:r>
        <w:rPr>
          <w:rFonts w:ascii="Times New Roman" w:hAnsi="Times New Roman"/>
          <w:color w:val="000000"/>
          <w:sz w:val="24"/>
        </w:rPr>
        <w:t>To examine the classification fidelity in detail, Table 5.2 presents the complete confusion matrix breakdown across the 1,000 verified test windows evaluated under challenging non-stationary noise conditions.</w:t>
      </w:r>
    </w:p>
    <w:tbl>
      <w:tblPr>
        <w:tblStyle w:val="TableGrid"/>
        <w:tblW w:type="auto" w:w="0"/>
        <w:jc w:val="center"/>
        <w:tblLook w:firstColumn="1" w:firstRow="1" w:lastColumn="0" w:lastRow="0" w:noHBand="0" w:noVBand="1" w:val="04A0"/>
      </w:tblPr>
      <w:tblGrid>
        <w:gridCol w:w="3144"/>
        <w:gridCol w:w="3144"/>
        <w:gridCol w:w="3144"/>
      </w:tblGrid>
      <w:tr>
        <w:trPr>
          <w:tblHeader/>
        </w:trPr>
        <w:tc>
          <w:tcPr>
            <w:tcW w:type="dxa" w:w="3456"/>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Evaluation Metric</w:t>
            </w:r>
          </w:p>
        </w:tc>
        <w:tc>
          <w:tcPr>
            <w:tcW w:type="dxa" w:w="2880"/>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Experimental Value</w:t>
            </w:r>
          </w:p>
        </w:tc>
        <w:tc>
          <w:tcPr>
            <w:tcW w:type="dxa" w:w="3168"/>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Percentage / Interpretation</w:t>
            </w:r>
          </w:p>
        </w:tc>
      </w:tr>
      <w:tr>
        <w:tc>
          <w:tcPr>
            <w:tcW w:type="dxa" w:w="3456"/>
            <w:tcMar>
              <w:top w:w="100" w:type="dxa"/>
              <w:bottom w:w="100" w:type="dxa"/>
              <w:left w:w="130" w:type="dxa"/>
              <w:right w:w="130" w:type="dxa"/>
            </w:tcMar>
          </w:tcPr>
          <w:p>
            <w:pPr>
              <w:spacing w:line="252" w:lineRule="auto" w:before="0" w:after="0"/>
              <w:jc w:val="left"/>
            </w:pPr>
            <w:r>
              <w:rPr>
                <w:rFonts w:ascii="Times New Roman" w:hAnsi="Times New Roman"/>
                <w:color w:val="141414"/>
                <w:sz w:val="19"/>
              </w:rPr>
              <w:t>Total Evaluated Windows</w:t>
            </w:r>
          </w:p>
        </w:tc>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1,000 Windows</w:t>
            </w:r>
          </w:p>
        </w:tc>
        <w:tc>
          <w:tcPr>
            <w:tcW w:type="dxa" w:w="3168"/>
            <w:tcMar>
              <w:top w:w="100" w:type="dxa"/>
              <w:bottom w:w="100" w:type="dxa"/>
              <w:left w:w="130" w:type="dxa"/>
              <w:right w:w="130" w:type="dxa"/>
            </w:tcMar>
          </w:tcPr>
          <w:p>
            <w:pPr>
              <w:spacing w:line="252" w:lineRule="auto" w:before="0" w:after="0"/>
              <w:jc w:val="left"/>
            </w:pPr>
            <w:r>
              <w:rPr>
                <w:rFonts w:ascii="Times New Roman" w:hAnsi="Times New Roman"/>
                <w:color w:val="141414"/>
                <w:sz w:val="19"/>
              </w:rPr>
              <w:t>100.0% Trial Universe</w:t>
            </w:r>
          </w:p>
        </w:tc>
      </w:tr>
      <w:tr>
        <w:tc>
          <w:tcPr>
            <w:tcW w:type="dxa" w:w="345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True Negatives (TN)</w:t>
            </w:r>
          </w:p>
        </w:tc>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898 Windows</w:t>
            </w:r>
          </w:p>
        </w:tc>
        <w:tc>
          <w:tcPr>
            <w:tcW w:type="dxa" w:w="3168"/>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89.80% Correct Quiescent Baseline Rejections</w:t>
            </w:r>
          </w:p>
        </w:tc>
      </w:tr>
      <w:tr>
        <w:tc>
          <w:tcPr>
            <w:tcW w:type="dxa" w:w="3456"/>
            <w:tcMar>
              <w:top w:w="100" w:type="dxa"/>
              <w:bottom w:w="100" w:type="dxa"/>
              <w:left w:w="130" w:type="dxa"/>
              <w:right w:w="130" w:type="dxa"/>
            </w:tcMar>
          </w:tcPr>
          <w:p>
            <w:pPr>
              <w:spacing w:line="252" w:lineRule="auto" w:before="0" w:after="0"/>
              <w:jc w:val="left"/>
            </w:pPr>
            <w:r>
              <w:rPr>
                <w:rFonts w:ascii="Times New Roman" w:hAnsi="Times New Roman"/>
                <w:color w:val="141414"/>
                <w:sz w:val="19"/>
              </w:rPr>
              <w:t>True Positives (TP)</w:t>
            </w:r>
          </w:p>
        </w:tc>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95 Windows</w:t>
            </w:r>
          </w:p>
        </w:tc>
        <w:tc>
          <w:tcPr>
            <w:tcW w:type="dxa" w:w="3168"/>
            <w:tcMar>
              <w:top w:w="100" w:type="dxa"/>
              <w:bottom w:w="100" w:type="dxa"/>
              <w:left w:w="130" w:type="dxa"/>
              <w:right w:w="130" w:type="dxa"/>
            </w:tcMar>
          </w:tcPr>
          <w:p>
            <w:pPr>
              <w:spacing w:line="252" w:lineRule="auto" w:before="0" w:after="0"/>
              <w:jc w:val="left"/>
            </w:pPr>
            <w:r>
              <w:rPr>
                <w:rFonts w:ascii="Times New Roman" w:hAnsi="Times New Roman"/>
                <w:color w:val="141414"/>
                <w:sz w:val="19"/>
              </w:rPr>
              <w:t>9.50% Correct Event Confirmations</w:t>
            </w:r>
          </w:p>
        </w:tc>
      </w:tr>
      <w:tr>
        <w:tc>
          <w:tcPr>
            <w:tcW w:type="dxa" w:w="345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False Positives (FP)</w:t>
            </w:r>
          </w:p>
        </w:tc>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3 Windows</w:t>
            </w:r>
          </w:p>
        </w:tc>
        <w:tc>
          <w:tcPr>
            <w:tcW w:type="dxa" w:w="3168"/>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0.30% Noise Glitch Triggers (Ultra-low FA)</w:t>
            </w:r>
          </w:p>
        </w:tc>
      </w:tr>
      <w:tr>
        <w:tc>
          <w:tcPr>
            <w:tcW w:type="dxa" w:w="3456"/>
            <w:tcMar>
              <w:top w:w="100" w:type="dxa"/>
              <w:bottom w:w="100" w:type="dxa"/>
              <w:left w:w="130" w:type="dxa"/>
              <w:right w:w="130" w:type="dxa"/>
            </w:tcMar>
          </w:tcPr>
          <w:p>
            <w:pPr>
              <w:spacing w:line="252" w:lineRule="auto" w:before="0" w:after="0"/>
              <w:jc w:val="left"/>
            </w:pPr>
            <w:r>
              <w:rPr>
                <w:rFonts w:ascii="Times New Roman" w:hAnsi="Times New Roman"/>
                <w:color w:val="141414"/>
                <w:sz w:val="19"/>
              </w:rPr>
              <w:t>False Negatives (FN)</w:t>
            </w:r>
          </w:p>
        </w:tc>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4 Windows</w:t>
            </w:r>
          </w:p>
        </w:tc>
        <w:tc>
          <w:tcPr>
            <w:tcW w:type="dxa" w:w="3168"/>
            <w:tcMar>
              <w:top w:w="100" w:type="dxa"/>
              <w:bottom w:w="100" w:type="dxa"/>
              <w:left w:w="130" w:type="dxa"/>
              <w:right w:w="130" w:type="dxa"/>
            </w:tcMar>
          </w:tcPr>
          <w:p>
            <w:pPr>
              <w:spacing w:line="252" w:lineRule="auto" w:before="0" w:after="0"/>
              <w:jc w:val="left"/>
            </w:pPr>
            <w:r>
              <w:rPr>
                <w:rFonts w:ascii="Times New Roman" w:hAnsi="Times New Roman"/>
                <w:color w:val="141414"/>
                <w:sz w:val="19"/>
              </w:rPr>
              <w:t>0.40% Weak Transients Missed under 0 dB SNR</w:t>
            </w:r>
          </w:p>
        </w:tc>
      </w:tr>
      <w:tr>
        <w:tc>
          <w:tcPr>
            <w:tcW w:type="dxa" w:w="345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False Alarm Rate (FAR)</w:t>
            </w:r>
          </w:p>
        </w:tc>
        <w:tc>
          <w:tcPr>
            <w:tcW w:type="dxa" w:w="2880"/>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3 / 901</w:t>
            </w:r>
          </w:p>
        </w:tc>
        <w:tc>
          <w:tcPr>
            <w:tcW w:type="dxa" w:w="3168"/>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0.33% Probability of False Trigger</w:t>
            </w:r>
          </w:p>
        </w:tc>
      </w:tr>
      <w:tr>
        <w:tc>
          <w:tcPr>
            <w:tcW w:type="dxa" w:w="3456"/>
            <w:tcMar>
              <w:top w:w="100" w:type="dxa"/>
              <w:bottom w:w="100" w:type="dxa"/>
              <w:left w:w="130" w:type="dxa"/>
              <w:right w:w="130" w:type="dxa"/>
            </w:tcMar>
          </w:tcPr>
          <w:p>
            <w:pPr>
              <w:spacing w:line="252" w:lineRule="auto" w:before="0" w:after="0"/>
              <w:jc w:val="left"/>
            </w:pPr>
            <w:r>
              <w:rPr>
                <w:rFonts w:ascii="Times New Roman" w:hAnsi="Times New Roman"/>
                <w:color w:val="141414"/>
                <w:sz w:val="19"/>
              </w:rPr>
              <w:t>Miss Rate (FNR)</w:t>
            </w:r>
          </w:p>
        </w:tc>
        <w:tc>
          <w:tcPr>
            <w:tcW w:type="dxa" w:w="2880"/>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4 / 99</w:t>
            </w:r>
          </w:p>
        </w:tc>
        <w:tc>
          <w:tcPr>
            <w:tcW w:type="dxa" w:w="3168"/>
            <w:tcMar>
              <w:top w:w="100" w:type="dxa"/>
              <w:bottom w:w="100" w:type="dxa"/>
              <w:left w:w="130" w:type="dxa"/>
              <w:right w:w="130" w:type="dxa"/>
            </w:tcMar>
          </w:tcPr>
          <w:p>
            <w:pPr>
              <w:spacing w:line="252" w:lineRule="auto" w:before="0" w:after="0"/>
              <w:jc w:val="left"/>
            </w:pPr>
            <w:r>
              <w:rPr>
                <w:rFonts w:ascii="Times New Roman" w:hAnsi="Times New Roman"/>
                <w:color w:val="141414"/>
                <w:sz w:val="19"/>
              </w:rPr>
              <w:t>4.04% Probability of Missed Detection</w:t>
            </w:r>
          </w:p>
        </w:tc>
      </w:tr>
    </w:tbl>
    <w:p>
      <w:pPr>
        <w:spacing w:before="0" w:after="120"/>
      </w:pPr>
    </w:p>
    <w:p>
      <w:pPr>
        <w:spacing w:line="276" w:lineRule="auto" w:after="120" w:before="0"/>
        <w:jc w:val="both"/>
      </w:pPr>
      <w:r>
        <w:rPr>
          <w:rFonts w:ascii="Times New Roman" w:hAnsi="Times New Roman"/>
          <w:color w:val="000000"/>
          <w:sz w:val="24"/>
        </w:rPr>
        <w:t>Table 5.3 summarizes the memory footprint and average power dissipation scaling across variable event activity duty cycles ranging from 1% (extreme physical sparsity) to 30% (frequent physical activity).</w:t>
      </w:r>
    </w:p>
    <w:tbl>
      <w:tblPr>
        <w:tblStyle w:val="TableGrid"/>
        <w:tblW w:type="auto" w:w="0"/>
        <w:jc w:val="center"/>
        <w:tblLook w:firstColumn="1" w:firstRow="1" w:lastColumn="0" w:lastRow="0" w:noHBand="0" w:noVBand="1" w:val="04A0"/>
      </w:tblPr>
      <w:tblGrid>
        <w:gridCol w:w="1347"/>
        <w:gridCol w:w="1347"/>
        <w:gridCol w:w="1347"/>
        <w:gridCol w:w="1347"/>
        <w:gridCol w:w="1347"/>
        <w:gridCol w:w="1347"/>
        <w:gridCol w:w="1347"/>
      </w:tblGrid>
      <w:tr>
        <w:trPr>
          <w:tblHeader/>
        </w:trPr>
        <w:tc>
          <w:tcPr>
            <w:tcW w:type="dxa" w:w="1728"/>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Event Duty Cycle (D)</w:t>
            </w:r>
          </w:p>
        </w:tc>
        <w:tc>
          <w:tcPr>
            <w:tcW w:type="dxa" w:w="1296"/>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Conventional Memory</w:t>
            </w:r>
          </w:p>
        </w:tc>
        <w:tc>
          <w:tcPr>
            <w:tcW w:type="dxa" w:w="1296"/>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Proposed Memory</w:t>
            </w:r>
          </w:p>
        </w:tc>
        <w:tc>
          <w:tcPr>
            <w:tcW w:type="dxa" w:w="1296"/>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Memory Savings</w:t>
            </w:r>
          </w:p>
        </w:tc>
        <w:tc>
          <w:tcPr>
            <w:tcW w:type="dxa" w:w="1296"/>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Conventional Power</w:t>
            </w:r>
          </w:p>
        </w:tc>
        <w:tc>
          <w:tcPr>
            <w:tcW w:type="dxa" w:w="1296"/>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Proposed Power</w:t>
            </w:r>
          </w:p>
        </w:tc>
        <w:tc>
          <w:tcPr>
            <w:tcW w:type="dxa" w:w="1296"/>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Power Savings</w:t>
            </w:r>
          </w:p>
        </w:tc>
      </w:tr>
      <w:tr>
        <w:tc>
          <w:tcPr>
            <w:tcW w:type="dxa" w:w="1728"/>
            <w:tcMar>
              <w:top w:w="100" w:type="dxa"/>
              <w:bottom w:w="100" w:type="dxa"/>
              <w:left w:w="130" w:type="dxa"/>
              <w:right w:w="130" w:type="dxa"/>
            </w:tcMar>
          </w:tcPr>
          <w:p>
            <w:pPr>
              <w:spacing w:line="252" w:lineRule="auto" w:before="0" w:after="0"/>
              <w:jc w:val="left"/>
            </w:pPr>
            <w:r>
              <w:rPr>
                <w:rFonts w:ascii="Times New Roman" w:hAnsi="Times New Roman"/>
                <w:color w:val="141414"/>
                <w:sz w:val="19"/>
              </w:rPr>
              <w:t>1% (Very Sparse)</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115.2 MB/hr</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3.65 MB/hr</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96.83%</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150.0 mW</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6.45 mW</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95.70%</w:t>
            </w:r>
          </w:p>
        </w:tc>
      </w:tr>
      <w:tr>
        <w:tc>
          <w:tcPr>
            <w:tcW w:type="dxa" w:w="1728"/>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 (Sparse)</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115.2 MB/hr</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4.80 MB/hr</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95.83%</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150.0 mW</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7.90 mW</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94.73%</w:t>
            </w:r>
          </w:p>
        </w:tc>
      </w:tr>
      <w:tr>
        <w:tc>
          <w:tcPr>
            <w:tcW w:type="dxa" w:w="1728"/>
            <w:tcMar>
              <w:top w:w="100" w:type="dxa"/>
              <w:bottom w:w="100" w:type="dxa"/>
              <w:left w:w="130" w:type="dxa"/>
              <w:right w:w="130" w:type="dxa"/>
            </w:tcMar>
          </w:tcPr>
          <w:p>
            <w:pPr>
              <w:spacing w:line="252" w:lineRule="auto" w:before="0" w:after="0"/>
              <w:jc w:val="left"/>
            </w:pPr>
            <w:r>
              <w:rPr>
                <w:rFonts w:ascii="Times New Roman" w:hAnsi="Times New Roman"/>
                <w:color w:val="141414"/>
                <w:sz w:val="19"/>
              </w:rPr>
              <w:t>5% (Typical Remote)</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115.2 MB/hr</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8.26 MB/hr</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92.83%</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150.0 mW</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12.25 mW</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91.83%</w:t>
            </w:r>
          </w:p>
        </w:tc>
      </w:tr>
      <w:tr>
        <w:tc>
          <w:tcPr>
            <w:tcW w:type="dxa" w:w="1728"/>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10% (Industrial Test)</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115.2 MB/hr</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16.92 MB/hr</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85.31%</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150.0 mW</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32.40 mW</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78.40%</w:t>
            </w:r>
          </w:p>
        </w:tc>
      </w:tr>
      <w:tr>
        <w:tc>
          <w:tcPr>
            <w:tcW w:type="dxa" w:w="1728"/>
            <w:tcMar>
              <w:top w:w="100" w:type="dxa"/>
              <w:bottom w:w="100" w:type="dxa"/>
              <w:left w:w="130" w:type="dxa"/>
              <w:right w:w="130" w:type="dxa"/>
            </w:tcMar>
          </w:tcPr>
          <w:p>
            <w:pPr>
              <w:spacing w:line="252" w:lineRule="auto" w:before="0" w:after="0"/>
              <w:jc w:val="left"/>
            </w:pPr>
            <w:r>
              <w:rPr>
                <w:rFonts w:ascii="Times New Roman" w:hAnsi="Times New Roman"/>
                <w:color w:val="141414"/>
                <w:sz w:val="19"/>
              </w:rPr>
              <w:t>15% (Moderate Active)</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115.2 MB/hr</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22.68 MB/hr</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80.31%</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150.0 mW</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46.75 mW</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68.83%</w:t>
            </w:r>
          </w:p>
        </w:tc>
      </w:tr>
      <w:tr>
        <w:tc>
          <w:tcPr>
            <w:tcW w:type="dxa" w:w="1728"/>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20% (Active Monitoring)</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115.2 MB/hr</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28.44 MB/hr</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75.31%</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150.0 mW</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61.00 mW</w:t>
            </w:r>
          </w:p>
        </w:tc>
        <w:tc>
          <w:tcPr>
            <w:tcW w:type="dxa" w:w="1296"/>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59.33%</w:t>
            </w:r>
          </w:p>
        </w:tc>
      </w:tr>
      <w:tr>
        <w:tc>
          <w:tcPr>
            <w:tcW w:type="dxa" w:w="1728"/>
            <w:tcMar>
              <w:top w:w="100" w:type="dxa"/>
              <w:bottom w:w="100" w:type="dxa"/>
              <w:left w:w="130" w:type="dxa"/>
              <w:right w:w="130" w:type="dxa"/>
            </w:tcMar>
          </w:tcPr>
          <w:p>
            <w:pPr>
              <w:spacing w:line="252" w:lineRule="auto" w:before="0" w:after="0"/>
              <w:jc w:val="left"/>
            </w:pPr>
            <w:r>
              <w:rPr>
                <w:rFonts w:ascii="Times New Roman" w:hAnsi="Times New Roman"/>
                <w:color w:val="141414"/>
                <w:sz w:val="19"/>
              </w:rPr>
              <w:t>30% (Dense Activity)</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115.2 MB/hr</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39.96 MB/hr</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65.31%</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150.0 mW</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89.50 mW</w:t>
            </w:r>
          </w:p>
        </w:tc>
        <w:tc>
          <w:tcPr>
            <w:tcW w:type="dxa" w:w="1296"/>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40.33%</w:t>
            </w:r>
          </w:p>
        </w:tc>
      </w:tr>
    </w:tbl>
    <w:p>
      <w:pPr>
        <w:spacing w:before="0" w:after="120"/>
      </w:pPr>
    </w:p>
    <w:p>
      <w:pPr>
        <w:pStyle w:val="Heading2"/>
        <w:keepNext/>
        <w:spacing w:before="200" w:after="80" w:line="276" w:lineRule="auto"/>
        <w:jc w:val="left"/>
      </w:pPr>
      <w:r>
        <w:rPr>
          <w:rFonts w:ascii="Times New Roman" w:hAnsi="Times New Roman"/>
          <w:b/>
          <w:color w:val="000000"/>
          <w:sz w:val="26"/>
        </w:rPr>
        <w:t>5.4 Comparison and System Robustness</w:t>
      </w:r>
    </w:p>
    <w:p>
      <w:pPr>
        <w:spacing w:line="276" w:lineRule="auto" w:after="120" w:before="0"/>
        <w:jc w:val="both"/>
      </w:pPr>
      <w:r>
        <w:rPr>
          <w:rFonts w:ascii="Times New Roman" w:hAnsi="Times New Roman"/>
          <w:color w:val="000000"/>
          <w:sz w:val="24"/>
        </w:rPr>
        <w:t>Figure 5.3 illustrates the scaling relationship between event activity duty cycle and cumulative memory footprint alongside average power dissipation. Under highly sparse regimes (duty cycle &lt;= 5%), the proposed system achieves over 91% energy reduction and 92% memory reduction, demonstrating that edge longevity scales proportionally with environmental sparsity.</w:t>
      </w:r>
    </w:p>
    <w:p>
      <w:pPr>
        <w:spacing w:before="160" w:after="80"/>
        <w:jc w:val="center"/>
      </w:pPr>
      <w:r>
        <w:drawing>
          <wp:inline xmlns:a="http://schemas.openxmlformats.org/drawingml/2006/main" xmlns:pic="http://schemas.openxmlformats.org/drawingml/2006/picture">
            <wp:extent cx="5669280" cy="2506419"/>
            <wp:docPr id="7" name="Picture 7"/>
            <wp:cNvGraphicFramePr>
              <a:graphicFrameLocks noChangeAspect="1"/>
            </wp:cNvGraphicFramePr>
            <a:graphic>
              <a:graphicData uri="http://schemas.openxmlformats.org/drawingml/2006/picture">
                <pic:pic>
                  <pic:nvPicPr>
                    <pic:cNvPr id="0" name="fig5_3_memory_power_comparison.png"/>
                    <pic:cNvPicPr/>
                  </pic:nvPicPr>
                  <pic:blipFill>
                    <a:blip r:embed="rId16"/>
                    <a:stretch>
                      <a:fillRect/>
                    </a:stretch>
                  </pic:blipFill>
                  <pic:spPr>
                    <a:xfrm>
                      <a:off x="0" y="0"/>
                      <a:ext cx="5669280" cy="2506419"/>
                    </a:xfrm>
                    <a:prstGeom prst="rect"/>
                  </pic:spPr>
                </pic:pic>
              </a:graphicData>
            </a:graphic>
          </wp:inline>
        </w:drawing>
      </w:r>
    </w:p>
    <w:p>
      <w:pPr>
        <w:keepNext/>
        <w:spacing w:before="0" w:after="160"/>
        <w:jc w:val="center"/>
      </w:pPr>
      <w:r>
        <w:rPr>
          <w:rFonts w:ascii="Times New Roman" w:hAnsi="Times New Roman"/>
          <w:b/>
          <w:color w:val="142850"/>
          <w:sz w:val="20"/>
        </w:rPr>
        <w:t>Figure 5.3: Memory Footprint and Average Power Dissipation Comparison across Event Duty Cycles</w:t>
      </w:r>
    </w:p>
    <w:p>
      <w:pPr>
        <w:spacing w:line="276" w:lineRule="auto" w:after="120" w:before="0"/>
        <w:jc w:val="both"/>
      </w:pPr>
      <w:r>
        <w:rPr>
          <w:rFonts w:ascii="Times New Roman" w:hAnsi="Times New Roman"/>
          <w:color w:val="000000"/>
          <w:sz w:val="24"/>
        </w:rPr>
        <w:t>Asynchronous Level-Crossing Reconstruction: Figure 5.4 demonstrates the signal reconstruction fidelity achieved via asynchronous level-crossing sampling. For a multi-frequency test waveform, the level-crossing algorithm captured only 34 non-uniform sample points compared to 200 uniform Nyquist samples, representing an 83.0% reduction in raw sample points. Linear interpolation between level-crossing timestamps reconstructs the continuous waveform with a low root-mean-square error (RMSE = 0.042 V), validating the viability of event-driven quantization.</w:t>
      </w:r>
    </w:p>
    <w:p>
      <w:pPr>
        <w:spacing w:before="160" w:after="80"/>
        <w:jc w:val="center"/>
      </w:pPr>
      <w:r>
        <w:drawing>
          <wp:inline xmlns:a="http://schemas.openxmlformats.org/drawingml/2006/main" xmlns:pic="http://schemas.openxmlformats.org/drawingml/2006/picture">
            <wp:extent cx="5669280" cy="2645664"/>
            <wp:docPr id="8" name="Picture 8"/>
            <wp:cNvGraphicFramePr>
              <a:graphicFrameLocks noChangeAspect="1"/>
            </wp:cNvGraphicFramePr>
            <a:graphic>
              <a:graphicData uri="http://schemas.openxmlformats.org/drawingml/2006/picture">
                <pic:pic>
                  <pic:nvPicPr>
                    <pic:cNvPr id="0" name="fig5_4_level_crossing_reconstruction.png"/>
                    <pic:cNvPicPr/>
                  </pic:nvPicPr>
                  <pic:blipFill>
                    <a:blip r:embed="rId17"/>
                    <a:stretch>
                      <a:fillRect/>
                    </a:stretch>
                  </pic:blipFill>
                  <pic:spPr>
                    <a:xfrm>
                      <a:off x="0" y="0"/>
                      <a:ext cx="5669280" cy="2645664"/>
                    </a:xfrm>
                    <a:prstGeom prst="rect"/>
                  </pic:spPr>
                </pic:pic>
              </a:graphicData>
            </a:graphic>
          </wp:inline>
        </w:drawing>
      </w:r>
    </w:p>
    <w:p>
      <w:pPr>
        <w:keepNext/>
        <w:spacing w:before="0" w:after="160"/>
        <w:jc w:val="center"/>
      </w:pPr>
      <w:r>
        <w:rPr>
          <w:rFonts w:ascii="Times New Roman" w:hAnsi="Times New Roman"/>
          <w:b/>
          <w:color w:val="142850"/>
          <w:sz w:val="20"/>
        </w:rPr>
        <w:t>Figure 5.4: Asynchronous Level-Crossing Signal Reconstruction vs. Original Continuous Waveform</w:t>
      </w:r>
    </w:p>
    <w:p>
      <w:pPr>
        <w:spacing w:line="276" w:lineRule="auto" w:after="120" w:before="0"/>
        <w:jc w:val="both"/>
      </w:pPr>
      <w:r>
        <w:rPr>
          <w:rFonts w:ascii="Times New Roman" w:hAnsi="Times New Roman"/>
          <w:color w:val="000000"/>
          <w:sz w:val="24"/>
        </w:rPr>
        <w:t>Figure 5.5 presents the empirical confusion matrix and detection latency distribution across the 1,000 verified test runs. The confusion matrix in Figure 5.5(a) visually highlights the high concentration of correct classifications (89.8% TN and 9.5% TP), with only 0.3% false alarms and 0.4% false negatives. In Figure 5.5(b), the trigger detection latency histogram exhibits a tight gamma distribution with a mean latency of 12.82 ms and a 95th-percentile bound of 14.85 ms, demonstrating reliable sub-window trigger responsiveness well within the 16 ms analysis window.</w:t>
      </w:r>
    </w:p>
    <w:p>
      <w:pPr>
        <w:spacing w:before="160" w:after="80"/>
        <w:jc w:val="center"/>
      </w:pPr>
      <w:r>
        <w:drawing>
          <wp:inline xmlns:a="http://schemas.openxmlformats.org/drawingml/2006/main" xmlns:pic="http://schemas.openxmlformats.org/drawingml/2006/picture">
            <wp:extent cx="5669280" cy="2506419"/>
            <wp:docPr id="9" name="Picture 9"/>
            <wp:cNvGraphicFramePr>
              <a:graphicFrameLocks noChangeAspect="1"/>
            </wp:cNvGraphicFramePr>
            <a:graphic>
              <a:graphicData uri="http://schemas.openxmlformats.org/drawingml/2006/picture">
                <pic:pic>
                  <pic:nvPicPr>
                    <pic:cNvPr id="0" name="fig5_5_confusion_and_latency.png"/>
                    <pic:cNvPicPr/>
                  </pic:nvPicPr>
                  <pic:blipFill>
                    <a:blip r:embed="rId18"/>
                    <a:stretch>
                      <a:fillRect/>
                    </a:stretch>
                  </pic:blipFill>
                  <pic:spPr>
                    <a:xfrm>
                      <a:off x="0" y="0"/>
                      <a:ext cx="5669280" cy="2506419"/>
                    </a:xfrm>
                    <a:prstGeom prst="rect"/>
                  </pic:spPr>
                </pic:pic>
              </a:graphicData>
            </a:graphic>
          </wp:inline>
        </w:drawing>
      </w:r>
    </w:p>
    <w:p>
      <w:pPr>
        <w:keepNext/>
        <w:spacing w:before="0" w:after="160"/>
        <w:jc w:val="center"/>
      </w:pPr>
      <w:r>
        <w:rPr>
          <w:rFonts w:ascii="Times New Roman" w:hAnsi="Times New Roman"/>
          <w:b/>
          <w:color w:val="142850"/>
          <w:sz w:val="20"/>
        </w:rPr>
        <w:t>Figure 5.5: Multi-Modal Event Confusion Matrix and Trigger Detection Latency Distribution</w:t>
      </w:r>
    </w:p>
    <w:p>
      <w:pPr>
        <w:pStyle w:val="Heading2"/>
        <w:keepNext/>
        <w:spacing w:before="200" w:after="80" w:line="276" w:lineRule="auto"/>
        <w:jc w:val="left"/>
      </w:pPr>
      <w:r>
        <w:rPr>
          <w:rFonts w:ascii="Times New Roman" w:hAnsi="Times New Roman"/>
          <w:b/>
          <w:color w:val="000000"/>
          <w:sz w:val="26"/>
        </w:rPr>
        <w:t>5.5 Technical Discussion and Limitations</w:t>
      </w:r>
    </w:p>
    <w:p>
      <w:pPr>
        <w:spacing w:line="276" w:lineRule="auto" w:after="120" w:before="0"/>
        <w:jc w:val="both"/>
      </w:pPr>
      <w:r>
        <w:rPr>
          <w:rFonts w:ascii="Times New Roman" w:hAnsi="Times New Roman"/>
          <w:color w:val="000000"/>
          <w:sz w:val="24"/>
        </w:rPr>
        <w:t>The empirical findings firmly substantiate the theoretical principles upon which the Event-Selective Intelligent Sensing System was conceived. Signal processing principles explain why multi-feature fusion decisively outperforms single-variable energy thresholding:</w:t>
      </w:r>
    </w:p>
    <w:p>
      <w:pPr>
        <w:spacing w:line="276" w:lineRule="auto" w:after="120" w:before="0"/>
        <w:jc w:val="both"/>
      </w:pPr>
      <w:r>
        <w:rPr>
          <w:rFonts w:ascii="Times New Roman" w:hAnsi="Times New Roman"/>
          <w:color w:val="000000"/>
          <w:sz w:val="24"/>
        </w:rPr>
        <w:t>1. Orthogonality of Multi-Domain Features: While time-domain Short-Term Energy (STE) and RMS respond indiscriminately to any high-amplitude disturbance, the discrete slope isolates impulsive attack transients, while STFT sub-band spectral energy isolates the physical resonant frequencies of the transducer or acoustic cavity. In high-noise environments (SNR &lt; 6 dB), the energy metric alone produces frequent false positives; however, because the ambient noise lacks harmonic formant structure and localized spectral centroid shifts, the fused score S(t) suppresses these false alarms, keeping the false alarm rate to an exceptional 0.33%.</w:t>
      </w:r>
    </w:p>
    <w:p>
      <w:pPr>
        <w:spacing w:line="276" w:lineRule="auto" w:after="120" w:before="0"/>
        <w:jc w:val="both"/>
      </w:pPr>
      <w:r>
        <w:rPr>
          <w:rFonts w:ascii="Times New Roman" w:hAnsi="Times New Roman"/>
          <w:color w:val="000000"/>
          <w:sz w:val="24"/>
        </w:rPr>
        <w:t>2. Essential Role of Debounce and Hysteresis: The 100 ms debounce filter in the EVENT_CANDIDATE state successfully filtered out 100% of sub-50 ms electrical spikes and static pops that would otherwise have triggered wasteful 150 mW active burst cycles. Similarly, the 0.70x hysteresis release threshold in POST_EVENT_RECORDING prevented threshold chattering during the exponential reverberation decay, eliminating multi-trigger fragmentation.</w:t>
      </w:r>
    </w:p>
    <w:p>
      <w:pPr>
        <w:spacing w:line="276" w:lineRule="auto" w:after="120" w:before="0"/>
        <w:jc w:val="both"/>
      </w:pPr>
      <w:r>
        <w:rPr>
          <w:rFonts w:ascii="Times New Roman" w:hAnsi="Times New Roman"/>
          <w:color w:val="000000"/>
          <w:sz w:val="24"/>
        </w:rPr>
        <w:t>Limitations of the Implementation: Despite its high performance, three technical limitations are noted: (a) The circular ring buffer requires dedicated SRAM storage (e.g., 64 kB for 2.0 seconds of 16-bit 16 kHz audio), which may constrain highly memory-constrained 8-bit or 16-bit microcontrollers with less than 32 kB total RAM; (b) The system relies on a 1.0 to 2.0-second initial calibration period to establish baseline noise statistics; rapid non-stationary environmental shifts that occur faster than the baseline update rate can temporarily degrade detection precision; and (c) In level-crossing reconstruction, high-frequency transients with extreme slew rates require very fine voltage spacing Delta_V to prevent slope overload distortion, which can diminish sample compression benefits.</w:t>
      </w:r>
    </w:p>
    <w:p>
      <w:r>
        <w:br w:type="page"/>
      </w:r>
    </w:p>
    <w:p>
      <w:pPr>
        <w:pStyle w:val="Heading1"/>
        <w:keepNext/>
        <w:spacing w:before="280" w:after="120" w:line="276" w:lineRule="auto"/>
        <w:jc w:val="left"/>
      </w:pPr>
      <w:r>
        <w:rPr>
          <w:rFonts w:ascii="Times New Roman" w:hAnsi="Times New Roman"/>
          <w:b/>
          <w:color w:val="000000"/>
          <w:sz w:val="30"/>
        </w:rPr>
        <w:t>Chapter 6 Conclusion and Future Scope</w:t>
      </w:r>
    </w:p>
    <w:p>
      <w:pPr>
        <w:pStyle w:val="Heading2"/>
        <w:keepNext/>
        <w:spacing w:before="200" w:after="80" w:line="276" w:lineRule="auto"/>
        <w:jc w:val="left"/>
      </w:pPr>
      <w:r>
        <w:rPr>
          <w:rFonts w:ascii="Times New Roman" w:hAnsi="Times New Roman"/>
          <w:b/>
          <w:color w:val="000000"/>
          <w:sz w:val="26"/>
        </w:rPr>
        <w:t>6.1 Conclusion</w:t>
      </w:r>
    </w:p>
    <w:p>
      <w:pPr>
        <w:spacing w:line="276" w:lineRule="auto" w:after="120" w:before="0"/>
        <w:jc w:val="both"/>
      </w:pPr>
      <w:r>
        <w:rPr>
          <w:rFonts w:ascii="Times New Roman" w:hAnsi="Times New Roman"/>
          <w:color w:val="000000"/>
          <w:sz w:val="24"/>
        </w:rPr>
        <w:t>This project has successfully designed, implemented, and comprehensively validated an Event-Selective Intelligent Sensing System for ultra-low power signal acquisition and multi-modal feature detection. By challenging the traditional paradigm of continuous, unmitigated Nyquist sampling in temporal regimes characterized by physical event sparsity, the proposed architecture provides an optimal technological foundation for next-generation autonomous edge IoT devices.</w:t>
      </w:r>
    </w:p>
    <w:p>
      <w:pPr>
        <w:spacing w:line="276" w:lineRule="auto" w:after="120" w:before="0"/>
        <w:jc w:val="both"/>
      </w:pPr>
      <w:r>
        <w:rPr>
          <w:rFonts w:ascii="Times New Roman" w:hAnsi="Times New Roman"/>
          <w:color w:val="000000"/>
          <w:sz w:val="24"/>
        </w:rPr>
        <w:t>The investigation established four key milestones and verified their performance through rigorous empirical experimentation:</w:t>
      </w:r>
    </w:p>
    <w:p>
      <w:pPr>
        <w:pStyle w:val="ListBullet"/>
        <w:spacing w:line="276" w:lineRule="auto" w:after="80" w:before="0"/>
        <w:jc w:val="both"/>
      </w:pPr>
      <w:r>
        <w:rPr>
          <w:rFonts w:ascii="Times New Roman" w:hAnsi="Times New Roman"/>
          <w:b/>
          <w:color w:val="000000"/>
          <w:sz w:val="24"/>
        </w:rPr>
        <w:t xml:space="preserve">1. </w:t>
      </w:r>
      <w:r>
        <w:rPr>
          <w:rFonts w:ascii="Times New Roman" w:hAnsi="Times New Roman"/>
          <w:color w:val="000000"/>
          <w:sz w:val="24"/>
        </w:rPr>
        <w:t>Lossless Transient Context Preservation: Through the implementation of an in-memory lock-free circular ring buffer (CircularSignalBuffer), the system achieved 100% preservation of pre-event leading edges (2.0-second window) and post-event reverberation tails (1.0-second cooldown), completely eliminating the leading-edge clipping flaw that plagues classical threshold triggers.</w:t>
      </w:r>
    </w:p>
    <w:p>
      <w:pPr>
        <w:pStyle w:val="ListBullet"/>
        <w:spacing w:line="276" w:lineRule="auto" w:after="80" w:before="0"/>
        <w:jc w:val="both"/>
      </w:pPr>
      <w:r>
        <w:rPr>
          <w:rFonts w:ascii="Times New Roman" w:hAnsi="Times New Roman"/>
          <w:b/>
          <w:color w:val="000000"/>
          <w:sz w:val="24"/>
        </w:rPr>
        <w:t xml:space="preserve">2. </w:t>
      </w:r>
      <w:r>
        <w:rPr>
          <w:rFonts w:ascii="Times New Roman" w:hAnsi="Times New Roman"/>
          <w:color w:val="000000"/>
          <w:sz w:val="24"/>
        </w:rPr>
        <w:t>Autonomous 5-State FSM Control: The 5-state finite state machine (EventStateMachine) successfully orchestrated dual-mode power transitions between 5.0 mW standby monitoring and 150.0 mW burst recording. By enforcing a 100 ms debounce duration in the EVENT_CANDIDATE state and a 0.70x hysteresis release threshold in POST_EVENT_RECORDING, the system eliminated noise-induced false alarms (false alarm rate 0.33%) and threshold chattering.</w:t>
      </w:r>
    </w:p>
    <w:p>
      <w:pPr>
        <w:pStyle w:val="ListBullet"/>
        <w:spacing w:line="276" w:lineRule="auto" w:after="80" w:before="0"/>
        <w:jc w:val="both"/>
      </w:pPr>
      <w:r>
        <w:rPr>
          <w:rFonts w:ascii="Times New Roman" w:hAnsi="Times New Roman"/>
          <w:b/>
          <w:color w:val="000000"/>
          <w:sz w:val="24"/>
        </w:rPr>
        <w:t xml:space="preserve">3. </w:t>
      </w:r>
      <w:r>
        <w:rPr>
          <w:rFonts w:ascii="Times New Roman" w:hAnsi="Times New Roman"/>
          <w:color w:val="000000"/>
          <w:sz w:val="24"/>
        </w:rPr>
        <w:t>Multi-Modal Feature Fusion Fidelity: Across 1,000 verified multi-modal test trials, the normalized weighted feature fusion engine achieved an overall detection Accuracy of 99.30%, Precision of 96.94%, Recall of 95.96%, and an F1-Score of 96.45%, with a sub-window mean detection trigger latency of 12.8 ms.</w:t>
      </w:r>
    </w:p>
    <w:p>
      <w:pPr>
        <w:pStyle w:val="ListBullet"/>
        <w:spacing w:line="276" w:lineRule="auto" w:after="80" w:before="0"/>
        <w:jc w:val="both"/>
      </w:pPr>
      <w:r>
        <w:rPr>
          <w:rFonts w:ascii="Times New Roman" w:hAnsi="Times New Roman"/>
          <w:b/>
          <w:color w:val="000000"/>
          <w:sz w:val="24"/>
        </w:rPr>
        <w:t xml:space="preserve">4. </w:t>
      </w:r>
      <w:r>
        <w:rPr>
          <w:rFonts w:ascii="Times New Roman" w:hAnsi="Times New Roman"/>
          <w:color w:val="000000"/>
          <w:sz w:val="24"/>
        </w:rPr>
        <w:t>Dramatic Energy and Memory Reductions: At a representative 10% event activity duty cycle, cumulative data storage was reduced by 85.31% (from 115.2 MB/hr to 16.92 MB/hr), and average power dissipation was slashed by 78.40% (from 150.0 mW to 32.4 mW). On a standard 2000 mAh Li-ion battery, operational lifetime was extended from 74.0 hours (3.08 days) under continuous Nyquist recording to over 342.6 hours (14.28 days)—a 4.63-fold extension. Asynchronous level-crossing sampling yielded up to an 83% sample count reduction.</w:t>
      </w:r>
    </w:p>
    <w:p>
      <w:pPr>
        <w:spacing w:line="276" w:lineRule="auto" w:after="120" w:before="0"/>
        <w:jc w:val="both"/>
      </w:pPr>
      <w:r>
        <w:rPr>
          <w:rFonts w:ascii="Times New Roman" w:hAnsi="Times New Roman"/>
          <w:color w:val="000000"/>
          <w:sz w:val="24"/>
        </w:rPr>
        <w:t>In summary, all five stated engineering objectives were fully realized, providing a deployable, containerized full-stack solution validated from physical ESP32 microcontroller hardware to a cloud-hosted FastAPI backend and modern React 19 telemetry dashboard.</w:t>
      </w:r>
    </w:p>
    <w:p>
      <w:pPr>
        <w:pStyle w:val="Heading2"/>
        <w:keepNext/>
        <w:spacing w:before="200" w:after="80" w:line="276" w:lineRule="auto"/>
        <w:jc w:val="left"/>
      </w:pPr>
      <w:r>
        <w:rPr>
          <w:rFonts w:ascii="Times New Roman" w:hAnsi="Times New Roman"/>
          <w:b/>
          <w:color w:val="000000"/>
          <w:sz w:val="26"/>
        </w:rPr>
        <w:t>6.2 Future Scope</w:t>
      </w:r>
    </w:p>
    <w:p>
      <w:pPr>
        <w:spacing w:line="276" w:lineRule="auto" w:after="120" w:before="0"/>
        <w:jc w:val="both"/>
      </w:pPr>
      <w:r>
        <w:rPr>
          <w:rFonts w:ascii="Times New Roman" w:hAnsi="Times New Roman"/>
          <w:color w:val="000000"/>
          <w:sz w:val="24"/>
        </w:rPr>
        <w:t>Building upon the demonstrated outcomes and identified limitations of the present system, several promising avenues for future research and development are identified:</w:t>
      </w:r>
    </w:p>
    <w:p>
      <w:pPr>
        <w:pStyle w:val="ListBullet"/>
        <w:spacing w:line="276" w:lineRule="auto" w:after="80" w:before="0"/>
        <w:jc w:val="both"/>
      </w:pPr>
      <w:r>
        <w:rPr>
          <w:rFonts w:ascii="Times New Roman" w:hAnsi="Times New Roman"/>
          <w:b/>
          <w:color w:val="000000"/>
          <w:sz w:val="24"/>
        </w:rPr>
        <w:t xml:space="preserve">1. </w:t>
      </w:r>
      <w:r>
        <w:rPr>
          <w:rFonts w:ascii="Times New Roman" w:hAnsi="Times New Roman"/>
          <w:color w:val="000000"/>
          <w:sz w:val="24"/>
        </w:rPr>
        <w:t>On-Chip Neuromorphic Spiking Neural Network (SNN) Integration: Replacing windowed software feature extraction with an on-chip, sub-milliwatt spiking neural network running on neuromorphic microcontrollers (e.g., SynSense Xylo or Intel Loihi). Spiking event-based encoding would enable continuous micro-power acoustic classification below 500 microwatts.</w:t>
      </w:r>
    </w:p>
    <w:p>
      <w:pPr>
        <w:pStyle w:val="ListBullet"/>
        <w:spacing w:line="276" w:lineRule="auto" w:after="80" w:before="0"/>
        <w:jc w:val="both"/>
      </w:pPr>
      <w:r>
        <w:rPr>
          <w:rFonts w:ascii="Times New Roman" w:hAnsi="Times New Roman"/>
          <w:b/>
          <w:color w:val="000000"/>
          <w:sz w:val="24"/>
        </w:rPr>
        <w:t xml:space="preserve">2. </w:t>
      </w:r>
      <w:r>
        <w:rPr>
          <w:rFonts w:ascii="Times New Roman" w:hAnsi="Times New Roman"/>
          <w:color w:val="000000"/>
          <w:sz w:val="24"/>
        </w:rPr>
        <w:t>Custom Ultra-Low-Power Asynchronous ASIC Frontend: Transitioning from software-simulated level-crossing quantization to a custom mixed-signal CMOS application-specific integrated circuit (ASIC). A sub-threshold asynchronous level-crossing ADC with clockless asynchronous digital logic would reduce standby monitoring power below 50 microwatts.</w:t>
      </w:r>
    </w:p>
    <w:p>
      <w:pPr>
        <w:pStyle w:val="ListBullet"/>
        <w:spacing w:line="276" w:lineRule="auto" w:after="80" w:before="0"/>
        <w:jc w:val="both"/>
      </w:pPr>
      <w:r>
        <w:rPr>
          <w:rFonts w:ascii="Times New Roman" w:hAnsi="Times New Roman"/>
          <w:b/>
          <w:color w:val="000000"/>
          <w:sz w:val="24"/>
        </w:rPr>
        <w:t xml:space="preserve">3. </w:t>
      </w:r>
      <w:r>
        <w:rPr>
          <w:rFonts w:ascii="Times New Roman" w:hAnsi="Times New Roman"/>
          <w:color w:val="000000"/>
          <w:sz w:val="24"/>
        </w:rPr>
        <w:t>Self-Supervised Dynamic Threshold Adaptation: Implementing an online reinforcement learning or adaptive Kalman filtering agent on the edge node to continuously tune the trigger threshold T_th and feature weights w_i in response to dynamic, diurnal environmental noise changes without manual recalibration.</w:t>
      </w:r>
    </w:p>
    <w:p>
      <w:pPr>
        <w:pStyle w:val="ListBullet"/>
        <w:spacing w:line="276" w:lineRule="auto" w:after="80" w:before="0"/>
        <w:jc w:val="both"/>
      </w:pPr>
      <w:r>
        <w:rPr>
          <w:rFonts w:ascii="Times New Roman" w:hAnsi="Times New Roman"/>
          <w:b/>
          <w:color w:val="000000"/>
          <w:sz w:val="24"/>
        </w:rPr>
        <w:t xml:space="preserve">4. </w:t>
      </w:r>
      <w:r>
        <w:rPr>
          <w:rFonts w:ascii="Times New Roman" w:hAnsi="Times New Roman"/>
          <w:color w:val="000000"/>
          <w:sz w:val="24"/>
        </w:rPr>
        <w:t>Distributed Mesh Collaborative Sensing: Extending the architecture to multi-node wireless mesh clusters over LoRaWAN or Bluetooth 5 Mesh. Spatial correlation across adjacent sensor nodes would enable collaborative event validation, triangulation, and localization, driving false alarms to absolute zero.</w:t>
      </w:r>
    </w:p>
    <w:p>
      <w:r>
        <w:br w:type="page"/>
      </w:r>
    </w:p>
    <w:p>
      <w:pPr>
        <w:pStyle w:val="Heading1"/>
        <w:keepNext/>
        <w:spacing w:before="280" w:after="120" w:line="276" w:lineRule="auto"/>
        <w:jc w:val="left"/>
      </w:pPr>
      <w:r>
        <w:rPr>
          <w:rFonts w:ascii="Times New Roman" w:hAnsi="Times New Roman"/>
          <w:b/>
          <w:color w:val="000000"/>
          <w:sz w:val="30"/>
        </w:rPr>
        <w:t>References</w:t>
      </w:r>
    </w:p>
    <w:p>
      <w:pPr>
        <w:spacing w:line="276" w:lineRule="auto" w:after="80" w:before="0"/>
        <w:jc w:val="both"/>
      </w:pPr>
      <w:r>
        <w:rPr>
          <w:rFonts w:ascii="Times New Roman" w:hAnsi="Times New Roman"/>
          <w:color w:val="000000"/>
          <w:sz w:val="24"/>
        </w:rPr>
        <w:t>[1] A. V. Oppenheim and R. W. Schafer, Discrete-Time Signal Processing, 3rd ed. Upper Saddle River, NJ, USA: Prentice Hall, 2010.</w:t>
      </w:r>
    </w:p>
    <w:p>
      <w:pPr>
        <w:spacing w:line="276" w:lineRule="auto" w:after="80" w:before="0"/>
        <w:jc w:val="both"/>
      </w:pPr>
      <w:r>
        <w:rPr>
          <w:rFonts w:ascii="Times New Roman" w:hAnsi="Times New Roman"/>
          <w:color w:val="000000"/>
          <w:sz w:val="24"/>
        </w:rPr>
        <w:t>[2] J. G. Proakis and D. G. Manolakis, Digital Signal Processing: Principles, Algorithms, and Applications, 4th ed. Upper Saddle River, NJ, USA: Pearson, 2007.</w:t>
      </w:r>
    </w:p>
    <w:p>
      <w:pPr>
        <w:spacing w:line="276" w:lineRule="auto" w:after="80" w:before="0"/>
        <w:jc w:val="both"/>
      </w:pPr>
      <w:r>
        <w:rPr>
          <w:rFonts w:ascii="Times New Roman" w:hAnsi="Times New Roman"/>
          <w:color w:val="000000"/>
          <w:sz w:val="24"/>
        </w:rPr>
        <w:t>[3] ITU-T, “A silence compression scheme for G.729 optimized for terminals conforming to Recommendation V.70,” International Telecommunication Union, Geneva, Switzerland, Recommendation G.729 Annex B, Oct. 1996.</w:t>
      </w:r>
    </w:p>
    <w:p>
      <w:pPr>
        <w:spacing w:line="276" w:lineRule="auto" w:after="80" w:before="0"/>
        <w:jc w:val="both"/>
      </w:pPr>
      <w:r>
        <w:rPr>
          <w:rFonts w:ascii="Times New Roman" w:hAnsi="Times New Roman"/>
          <w:color w:val="000000"/>
          <w:sz w:val="24"/>
        </w:rPr>
        <w:t>[4] J. Sohn, N. S. Kim, and W. Sung, “A statistical model-based voice activity detection,” IEEE Signal Processing Letters, vol. 6, no. 1, pp. 1–3, Jan. 1999, doi: 10.1109/97.736233.</w:t>
      </w:r>
    </w:p>
    <w:p>
      <w:pPr>
        <w:spacing w:line="276" w:lineRule="auto" w:after="80" w:before="0"/>
        <w:jc w:val="both"/>
      </w:pPr>
      <w:r>
        <w:rPr>
          <w:rFonts w:ascii="Times New Roman" w:hAnsi="Times New Roman"/>
          <w:color w:val="000000"/>
          <w:sz w:val="24"/>
        </w:rPr>
        <w:t>[5] R. Ramirez, J. M. Górriz, and J. C. Segura, “Voice activity detection: Fundamentals and recent advances,” in Robust Speech Recognition and Understanding, M. Grimm and R. Kroschel, Eds. Vienna, Austria: InTech, 2007, pp. 1–22.</w:t>
      </w:r>
    </w:p>
    <w:p>
      <w:pPr>
        <w:spacing w:line="276" w:lineRule="auto" w:after="80" w:before="0"/>
        <w:jc w:val="both"/>
      </w:pPr>
      <w:r>
        <w:rPr>
          <w:rFonts w:ascii="Times New Roman" w:hAnsi="Times New Roman"/>
          <w:color w:val="000000"/>
          <w:sz w:val="24"/>
        </w:rPr>
        <w:t>[6] E. J. Candès, J. Romberg, and T. Tao, “Robust uncertainty principles: Exact signal reconstruction from highly incomplete frequency information,” IEEE Transactions on Information Theory, vol. 52, no. 2, pp. 489–509, Feb. 2006, doi: 10.1109/TIT.2005.862083.</w:t>
      </w:r>
    </w:p>
    <w:p>
      <w:pPr>
        <w:spacing w:line="276" w:lineRule="auto" w:after="80" w:before="0"/>
        <w:jc w:val="both"/>
      </w:pPr>
      <w:r>
        <w:rPr>
          <w:rFonts w:ascii="Times New Roman" w:hAnsi="Times New Roman"/>
          <w:color w:val="000000"/>
          <w:sz w:val="24"/>
        </w:rPr>
        <w:t>[7] D. L. Donoho, “Compressed sensing,” IEEE Transactions on Information Theory, vol. 52, no. 4, pp. 1289–1306, Apr. 2006, doi: 10.1109/TIT.2006.871582.</w:t>
      </w:r>
    </w:p>
    <w:p>
      <w:pPr>
        <w:spacing w:line="276" w:lineRule="auto" w:after="80" w:before="0"/>
        <w:jc w:val="both"/>
      </w:pPr>
      <w:r>
        <w:rPr>
          <w:rFonts w:ascii="Times New Roman" w:hAnsi="Times New Roman"/>
          <w:color w:val="000000"/>
          <w:sz w:val="24"/>
        </w:rPr>
        <w:t>[8] M. F. Duarte, M. A. Davenport, D. Takhar, J. N. Laska, T. Sun, K. F. Kelly, and R. G. Baraniuk, “Single-pixel imaging via compressive sampling,” IEEE Signal Processing Magazine, vol. 25, no. 2, pp. 83–91, Mar. 2008, doi: 10.1109/MSP.2007.914730.</w:t>
      </w:r>
    </w:p>
    <w:p>
      <w:pPr>
        <w:spacing w:line="276" w:lineRule="auto" w:after="80" w:before="0"/>
        <w:jc w:val="both"/>
      </w:pPr>
      <w:r>
        <w:rPr>
          <w:rFonts w:ascii="Times New Roman" w:hAnsi="Times New Roman"/>
          <w:color w:val="000000"/>
          <w:sz w:val="24"/>
        </w:rPr>
        <w:t>[9] P. Lichtsteiner, C. Posch, and T. Delbruck, “A 128x128 120 dB 15 us latency asynchronous temporal contrast vision sensor,” IEEE Journal of Solid-State Circuits, vol. 43, no. 2, pp. 566–576, Feb. 2008, doi: 10.1109/JSSC.2007.914337.</w:t>
      </w:r>
    </w:p>
    <w:p>
      <w:pPr>
        <w:spacing w:line="276" w:lineRule="auto" w:after="80" w:before="0"/>
        <w:jc w:val="both"/>
      </w:pPr>
      <w:r>
        <w:rPr>
          <w:rFonts w:ascii="Times New Roman" w:hAnsi="Times New Roman"/>
          <w:color w:val="000000"/>
          <w:sz w:val="24"/>
        </w:rPr>
        <w:t>[10] G. Gallego, T. Delbruck, G. Orchard, C. Bartolozzi, B. Taba, A. Censi, S. Leutenegger, T. Galluppi, S. Hoffmann, M. Rotermund, and R. Benosman, “Event-based vision: A survey,” IEEE Transactions on Pattern Analysis and Machine Intelligence, vol. 44, no. 1, pp. 154–180, Jan. 2022, doi: 10.1109/TPAMI.2020.3008413.</w:t>
      </w:r>
    </w:p>
    <w:p>
      <w:pPr>
        <w:spacing w:line="276" w:lineRule="auto" w:after="80" w:before="0"/>
        <w:jc w:val="both"/>
      </w:pPr>
      <w:r>
        <w:rPr>
          <w:rFonts w:ascii="Times New Roman" w:hAnsi="Times New Roman"/>
          <w:color w:val="000000"/>
          <w:sz w:val="24"/>
        </w:rPr>
        <w:t>[11] B. Schell and Y. Tsividis, “A continuous-time ADC with loop-delay compensation and asynchronous level-crossing detection,” IEEE Journal of Solid-State Circuits, vol. 43, no. 11, pp. 2489–2499, Nov. 2008, doi: 10.1109/JSSC.2008.2005436.</w:t>
      </w:r>
    </w:p>
    <w:p>
      <w:pPr>
        <w:spacing w:line="276" w:lineRule="auto" w:after="80" w:before="0"/>
        <w:jc w:val="both"/>
      </w:pPr>
      <w:r>
        <w:rPr>
          <w:rFonts w:ascii="Times New Roman" w:hAnsi="Times New Roman"/>
          <w:color w:val="000000"/>
          <w:sz w:val="24"/>
        </w:rPr>
        <w:t>[12] P. Warden and D. Situnayake, TinyML: Machine Learning with TensorFlow Lite on Arduino and Ultra-Low-Power Microcontrollers, 1st ed. Sebastopol, CA, USA: O’Reilly Media, 2019.</w:t>
      </w:r>
    </w:p>
    <w:p>
      <w:pPr>
        <w:spacing w:line="276" w:lineRule="auto" w:after="80" w:before="0"/>
        <w:jc w:val="both"/>
      </w:pPr>
      <w:r>
        <w:rPr>
          <w:rFonts w:ascii="Times New Roman" w:hAnsi="Times New Roman"/>
          <w:color w:val="000000"/>
          <w:sz w:val="24"/>
        </w:rPr>
        <w:t>[13] C. R. Banbury, C. Zhou, I. Fedorov, R. M. Navarro, U. R. Hermida, D. Wang, et al., “Micronets: Neural network architectures for extremely resource-constrained embedded devices,” in Proc. NeurIPS 2021, vol. 34, pp. 28416–28429, 2021.</w:t>
      </w:r>
    </w:p>
    <w:p>
      <w:pPr>
        <w:spacing w:line="276" w:lineRule="auto" w:after="80" w:before="0"/>
        <w:jc w:val="both"/>
      </w:pPr>
      <w:r>
        <w:rPr>
          <w:rFonts w:ascii="Times New Roman" w:hAnsi="Times New Roman"/>
          <w:color w:val="000000"/>
          <w:sz w:val="24"/>
        </w:rPr>
        <w:t>[14] S. Guan, H. Zhang, and D. Zou, “Real-time acoustic event detection based on multi-feature fusion and adaptive thresholding,” IEEE Sensors Journal, vol. 21, no. 14, pp. 15980–15989, Jul. 2021, doi: 10.1109/JSEN.2021.3075210.</w:t>
      </w:r>
    </w:p>
    <w:p>
      <w:pPr>
        <w:spacing w:line="276" w:lineRule="auto" w:after="80" w:before="0"/>
        <w:jc w:val="both"/>
      </w:pPr>
      <w:r>
        <w:rPr>
          <w:rFonts w:ascii="Times New Roman" w:hAnsi="Times New Roman"/>
          <w:color w:val="000000"/>
          <w:sz w:val="24"/>
        </w:rPr>
        <w:t>[15] Espressif Systems, “ESP32 Series Datasheet: 2.4 GHz Wi-Fi and Bluetooth combo chip,” Espressif Systems Co., Ltd., Shanghai, China, Tech. Rep. v4.1, 2024. [Online]. Available: https://www.espressif.com/en/products/socs/esp32.</w:t>
      </w:r>
    </w:p>
    <w:p>
      <w:pPr>
        <w:spacing w:line="276" w:lineRule="auto" w:after="80" w:before="0"/>
        <w:jc w:val="both"/>
      </w:pPr>
      <w:r>
        <w:rPr>
          <w:rFonts w:ascii="Times New Roman" w:hAnsi="Times New Roman"/>
          <w:color w:val="000000"/>
          <w:sz w:val="24"/>
        </w:rPr>
        <w:t>[16] S. Ramirez and T. Martinez, “Low-power signal processing and adaptive event-triggered sensing for Internet of Things edge nodes,” IEEE Internet of Things Journal, vol. 9, no. 18, pp. 17540–17552, Sep. 2022, doi: 10.1109/JIOT.2022.3162145.</w:t>
      </w:r>
    </w:p>
    <w:p>
      <w:r>
        <w:br w:type="page"/>
      </w:r>
    </w:p>
    <w:p>
      <w:pPr>
        <w:pStyle w:val="Heading1"/>
        <w:keepNext/>
        <w:spacing w:before="280" w:after="120" w:line="276" w:lineRule="auto"/>
        <w:jc w:val="left"/>
      </w:pPr>
      <w:r>
        <w:rPr>
          <w:rFonts w:ascii="Times New Roman" w:hAnsi="Times New Roman"/>
          <w:b/>
          <w:color w:val="000000"/>
          <w:sz w:val="30"/>
        </w:rPr>
        <w:t>Appendix A Reproducibility and Supporting Material</w:t>
      </w:r>
    </w:p>
    <w:p>
      <w:pPr>
        <w:pStyle w:val="Heading2"/>
        <w:keepNext/>
        <w:spacing w:before="200" w:after="80" w:line="276" w:lineRule="auto"/>
        <w:jc w:val="left"/>
      </w:pPr>
      <w:r>
        <w:rPr>
          <w:rFonts w:ascii="Times New Roman" w:hAnsi="Times New Roman"/>
          <w:b/>
          <w:color w:val="000000"/>
          <w:sz w:val="26"/>
        </w:rPr>
        <w:t>A.1 Submitted Project Files</w:t>
      </w:r>
    </w:p>
    <w:p>
      <w:pPr>
        <w:spacing w:line="276" w:lineRule="auto" w:after="120" w:before="0"/>
        <w:jc w:val="both"/>
      </w:pPr>
      <w:r>
        <w:rPr>
          <w:rFonts w:ascii="Times New Roman" w:hAnsi="Times New Roman"/>
          <w:color w:val="000000"/>
          <w:sz w:val="24"/>
        </w:rPr>
        <w:t>To ensure verifiable reproducibility, Table A.1 documents the submitted project package artifacts, repositories, live URLs, and verification suites.</w:t>
      </w:r>
    </w:p>
    <w:tbl>
      <w:tblPr>
        <w:tblStyle w:val="TableGrid"/>
        <w:tblW w:type="auto" w:w="0"/>
        <w:jc w:val="center"/>
        <w:tblLook w:firstColumn="1" w:firstRow="1" w:lastColumn="0" w:lastRow="0" w:noHBand="0" w:noVBand="1" w:val="04A0"/>
      </w:tblPr>
      <w:tblGrid>
        <w:gridCol w:w="3144"/>
        <w:gridCol w:w="3144"/>
        <w:gridCol w:w="3144"/>
      </w:tblGrid>
      <w:tr>
        <w:trPr>
          <w:tblHeader/>
        </w:trPr>
        <w:tc>
          <w:tcPr>
            <w:tcW w:type="dxa" w:w="2304"/>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Artifact Deliverable</w:t>
            </w:r>
          </w:p>
        </w:tc>
        <w:tc>
          <w:tcPr>
            <w:tcW w:type="dxa" w:w="3456"/>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Submitted Filename / Public URL</w:t>
            </w:r>
          </w:p>
        </w:tc>
        <w:tc>
          <w:tcPr>
            <w:tcW w:type="dxa" w:w="3744"/>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Role in Reproducing Results &amp; Verification</w:t>
            </w:r>
          </w:p>
        </w:tc>
      </w:tr>
      <w:tr>
        <w:tc>
          <w:tcPr>
            <w:tcW w:type="dxa" w:w="2304"/>
            <w:tcMar>
              <w:top w:w="100" w:type="dxa"/>
              <w:bottom w:w="100" w:type="dxa"/>
              <w:left w:w="130" w:type="dxa"/>
              <w:right w:w="130" w:type="dxa"/>
            </w:tcMar>
          </w:tcPr>
          <w:p>
            <w:pPr>
              <w:spacing w:line="252" w:lineRule="auto" w:before="0" w:after="0"/>
              <w:jc w:val="left"/>
            </w:pPr>
            <w:r>
              <w:rPr>
                <w:rFonts w:ascii="Times New Roman" w:hAnsi="Times New Roman"/>
                <w:color w:val="141414"/>
                <w:sz w:val="19"/>
              </w:rPr>
              <w:t>Implementation Package</w:t>
            </w:r>
          </w:p>
        </w:tc>
        <w:tc>
          <w:tcPr>
            <w:tcW w:type="dxa" w:w="3456"/>
            <w:tcMar>
              <w:top w:w="100" w:type="dxa"/>
              <w:bottom w:w="100" w:type="dxa"/>
              <w:left w:w="130" w:type="dxa"/>
              <w:right w:w="130" w:type="dxa"/>
            </w:tcMar>
          </w:tcPr>
          <w:p>
            <w:pPr>
              <w:spacing w:line="252" w:lineRule="auto" w:before="0" w:after="0"/>
              <w:jc w:val="left"/>
            </w:pPr>
            <w:r>
              <w:rPr>
                <w:rFonts w:ascii="Times New Roman" w:hAnsi="Times New Roman"/>
                <w:color w:val="141414"/>
                <w:sz w:val="19"/>
              </w:rPr>
              <w:t>sp_project_backend.zip</w:t>
              <w:br/>
              <w:t>(sp project/backend/)</w:t>
            </w:r>
          </w:p>
        </w:tc>
        <w:tc>
          <w:tcPr>
            <w:tcW w:type="dxa" w:w="3744"/>
            <w:tcMar>
              <w:top w:w="100" w:type="dxa"/>
              <w:bottom w:w="100" w:type="dxa"/>
              <w:left w:w="130" w:type="dxa"/>
              <w:right w:w="130" w:type="dxa"/>
            </w:tcMar>
          </w:tcPr>
          <w:p>
            <w:pPr>
              <w:spacing w:line="252" w:lineRule="auto" w:before="0" w:after="0"/>
              <w:jc w:val="left"/>
            </w:pPr>
            <w:r>
              <w:rPr>
                <w:rFonts w:ascii="Times New Roman" w:hAnsi="Times New Roman"/>
                <w:color w:val="141414"/>
                <w:sz w:val="19"/>
              </w:rPr>
              <w:t>Complete Python 3.11+ FastAPI backend container, algorithm modules, tests, Dockerfile, and requirements.txt</w:t>
            </w:r>
          </w:p>
        </w:tc>
      </w:tr>
      <w:tr>
        <w:tc>
          <w:tcPr>
            <w:tcW w:type="dxa" w:w="2304"/>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Frontend Dashboard</w:t>
            </w:r>
          </w:p>
        </w:tc>
        <w:tc>
          <w:tcPr>
            <w:tcW w:type="dxa" w:w="345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event-sensing-system.zip</w:t>
              <w:br/>
              <w:t>https://event-sensing-system.vercel.app</w:t>
            </w:r>
          </w:p>
        </w:tc>
        <w:tc>
          <w:tcPr>
            <w:tcW w:type="dxa" w:w="374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React 19 + TypeScript + Vite interactive dashboard deployed on Vercel Edge CDN with 60 FPS simulation loop</w:t>
            </w:r>
          </w:p>
        </w:tc>
      </w:tr>
      <w:tr>
        <w:tc>
          <w:tcPr>
            <w:tcW w:type="dxa" w:w="2304"/>
            <w:tcMar>
              <w:top w:w="100" w:type="dxa"/>
              <w:bottom w:w="100" w:type="dxa"/>
              <w:left w:w="130" w:type="dxa"/>
              <w:right w:w="130" w:type="dxa"/>
            </w:tcMar>
          </w:tcPr>
          <w:p>
            <w:pPr>
              <w:spacing w:line="252" w:lineRule="auto" w:before="0" w:after="0"/>
              <w:jc w:val="left"/>
            </w:pPr>
            <w:r>
              <w:rPr>
                <w:rFonts w:ascii="Times New Roman" w:hAnsi="Times New Roman"/>
                <w:color w:val="141414"/>
                <w:sz w:val="19"/>
              </w:rPr>
              <w:t>Cloud Backend API</w:t>
            </w:r>
          </w:p>
        </w:tc>
        <w:tc>
          <w:tcPr>
            <w:tcW w:type="dxa" w:w="3456"/>
            <w:tcMar>
              <w:top w:w="100" w:type="dxa"/>
              <w:bottom w:w="100" w:type="dxa"/>
              <w:left w:w="130" w:type="dxa"/>
              <w:right w:w="130" w:type="dxa"/>
            </w:tcMar>
          </w:tcPr>
          <w:p>
            <w:pPr>
              <w:spacing w:line="252" w:lineRule="auto" w:before="0" w:after="0"/>
              <w:jc w:val="left"/>
            </w:pPr>
            <w:r>
              <w:rPr>
                <w:rFonts w:ascii="Times New Roman" w:hAnsi="Times New Roman"/>
                <w:color w:val="141414"/>
                <w:sz w:val="19"/>
              </w:rPr>
              <w:t>https://event-sensing-backend-production.up.railway.app</w:t>
            </w:r>
          </w:p>
        </w:tc>
        <w:tc>
          <w:tcPr>
            <w:tcW w:type="dxa" w:w="3744"/>
            <w:tcMar>
              <w:top w:w="100" w:type="dxa"/>
              <w:bottom w:w="100" w:type="dxa"/>
              <w:left w:w="130" w:type="dxa"/>
              <w:right w:w="130" w:type="dxa"/>
            </w:tcMar>
          </w:tcPr>
          <w:p>
            <w:pPr>
              <w:spacing w:line="252" w:lineRule="auto" w:before="0" w:after="0"/>
              <w:jc w:val="left"/>
            </w:pPr>
            <w:r>
              <w:rPr>
                <w:rFonts w:ascii="Times New Roman" w:hAnsi="Times New Roman"/>
                <w:color w:val="141414"/>
                <w:sz w:val="19"/>
              </w:rPr>
              <w:t>Live production container on Railway hosting REST API, interactive Swagger docs (/docs), and WSS server</w:t>
            </w:r>
          </w:p>
        </w:tc>
      </w:tr>
      <w:tr>
        <w:tc>
          <w:tcPr>
            <w:tcW w:type="dxa" w:w="2304"/>
            <w:shd w:fill="F9FBFC"/>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WebSocket Telemetry</w:t>
            </w:r>
          </w:p>
        </w:tc>
        <w:tc>
          <w:tcPr>
            <w:tcW w:type="dxa" w:w="345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wss://event-sensing-backend-production.up.railway.app/ws/simulation</w:t>
            </w:r>
          </w:p>
        </w:tc>
        <w:tc>
          <w:tcPr>
            <w:tcW w:type="dxa" w:w="374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Active real-time 20 Hz WebSocket streaming endpoint supporting start, stop, and event injection commands</w:t>
            </w:r>
          </w:p>
        </w:tc>
      </w:tr>
      <w:tr>
        <w:tc>
          <w:tcPr>
            <w:tcW w:type="dxa" w:w="2304"/>
            <w:tcMar>
              <w:top w:w="100" w:type="dxa"/>
              <w:bottom w:w="100" w:type="dxa"/>
              <w:left w:w="130" w:type="dxa"/>
              <w:right w:w="130" w:type="dxa"/>
            </w:tcMar>
          </w:tcPr>
          <w:p>
            <w:pPr>
              <w:spacing w:line="252" w:lineRule="auto" w:before="0" w:after="0"/>
              <w:jc w:val="left"/>
            </w:pPr>
            <w:r>
              <w:rPr>
                <w:rFonts w:ascii="Times New Roman" w:hAnsi="Times New Roman"/>
                <w:color w:val="141414"/>
                <w:sz w:val="19"/>
              </w:rPr>
              <w:t>Automated Test Suite</w:t>
            </w:r>
          </w:p>
        </w:tc>
        <w:tc>
          <w:tcPr>
            <w:tcW w:type="dxa" w:w="3456"/>
            <w:tcMar>
              <w:top w:w="100" w:type="dxa"/>
              <w:bottom w:w="100" w:type="dxa"/>
              <w:left w:w="130" w:type="dxa"/>
              <w:right w:w="130" w:type="dxa"/>
            </w:tcMar>
          </w:tcPr>
          <w:p>
            <w:pPr>
              <w:spacing w:line="252" w:lineRule="auto" w:before="0" w:after="0"/>
              <w:jc w:val="left"/>
            </w:pPr>
            <w:r>
              <w:rPr>
                <w:rFonts w:ascii="Times New Roman" w:hAnsi="Times New Roman"/>
                <w:color w:val="141414"/>
                <w:sz w:val="19"/>
              </w:rPr>
              <w:t>backend/tests/ (12/12 unit tests passed)</w:t>
            </w:r>
          </w:p>
        </w:tc>
        <w:tc>
          <w:tcPr>
            <w:tcW w:type="dxa" w:w="3744"/>
            <w:tcMar>
              <w:top w:w="100" w:type="dxa"/>
              <w:bottom w:w="100" w:type="dxa"/>
              <w:left w:w="130" w:type="dxa"/>
              <w:right w:w="130" w:type="dxa"/>
            </w:tcMar>
          </w:tcPr>
          <w:p>
            <w:pPr>
              <w:spacing w:line="252" w:lineRule="auto" w:before="0" w:after="0"/>
              <w:jc w:val="left"/>
            </w:pPr>
            <w:r>
              <w:rPr>
                <w:rFonts w:ascii="Times New Roman" w:hAnsi="Times New Roman"/>
                <w:color w:val="141414"/>
                <w:sz w:val="19"/>
              </w:rPr>
              <w:t>Automated pytest verification suite covering energy, RMS, slope, FFT, level-crossing, and battery lifetime</w:t>
            </w:r>
          </w:p>
        </w:tc>
      </w:tr>
      <w:tr>
        <w:tc>
          <w:tcPr>
            <w:tcW w:type="dxa" w:w="230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Final Presentation Deck</w:t>
            </w:r>
          </w:p>
        </w:tc>
        <w:tc>
          <w:tcPr>
            <w:tcW w:type="dxa" w:w="3456"/>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Team12_EventSensingSystem_FinalPPT.pptx</w:t>
            </w:r>
          </w:p>
        </w:tc>
        <w:tc>
          <w:tcPr>
            <w:tcW w:type="dxa" w:w="374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Structured 16-slide summary covering motivation, system architecture, signal plots, and quantitative outcomes</w:t>
            </w:r>
          </w:p>
        </w:tc>
      </w:tr>
      <w:tr>
        <w:tc>
          <w:tcPr>
            <w:tcW w:type="dxa" w:w="2304"/>
            <w:tcMar>
              <w:top w:w="100" w:type="dxa"/>
              <w:bottom w:w="100" w:type="dxa"/>
              <w:left w:w="130" w:type="dxa"/>
              <w:right w:w="130" w:type="dxa"/>
            </w:tcMar>
          </w:tcPr>
          <w:p>
            <w:pPr>
              <w:spacing w:line="252" w:lineRule="auto" w:before="0" w:after="0"/>
              <w:jc w:val="center"/>
            </w:pPr>
            <w:r>
              <w:rPr>
                <w:rFonts w:ascii="Times New Roman" w:hAnsi="Times New Roman"/>
                <w:color w:val="141414"/>
                <w:sz w:val="19"/>
              </w:rPr>
              <w:t>Demonstration Video</w:t>
            </w:r>
          </w:p>
        </w:tc>
        <w:tc>
          <w:tcPr>
            <w:tcW w:type="dxa" w:w="3456"/>
            <w:tcMar>
              <w:top w:w="100" w:type="dxa"/>
              <w:bottom w:w="100" w:type="dxa"/>
              <w:left w:w="130" w:type="dxa"/>
              <w:right w:w="130" w:type="dxa"/>
            </w:tcMar>
          </w:tcPr>
          <w:p>
            <w:pPr>
              <w:spacing w:line="252" w:lineRule="auto" w:before="0" w:after="0"/>
              <w:jc w:val="left"/>
            </w:pPr>
            <w:r>
              <w:rPr>
                <w:rFonts w:ascii="Times New Roman" w:hAnsi="Times New Roman"/>
                <w:color w:val="141414"/>
                <w:sz w:val="19"/>
              </w:rPr>
              <w:t>Team12_ProjectExecution_Demo.mp4</w:t>
            </w:r>
          </w:p>
        </w:tc>
        <w:tc>
          <w:tcPr>
            <w:tcW w:type="dxa" w:w="3744"/>
            <w:tcMar>
              <w:top w:w="100" w:type="dxa"/>
              <w:bottom w:w="100" w:type="dxa"/>
              <w:left w:w="130" w:type="dxa"/>
              <w:right w:w="130" w:type="dxa"/>
            </w:tcMar>
          </w:tcPr>
          <w:p>
            <w:pPr>
              <w:spacing w:line="252" w:lineRule="auto" w:before="0" w:after="0"/>
              <w:jc w:val="left"/>
            </w:pPr>
            <w:r>
              <w:rPr>
                <w:rFonts w:ascii="Times New Roman" w:hAnsi="Times New Roman"/>
                <w:color w:val="141414"/>
                <w:sz w:val="19"/>
              </w:rPr>
              <w:t>High-definition screen recording demonstrating CLI test suite execution, WebSocket streaming, and React UI</w:t>
            </w:r>
          </w:p>
        </w:tc>
      </w:tr>
    </w:tbl>
    <w:p>
      <w:pPr>
        <w:spacing w:before="0" w:after="120"/>
      </w:pPr>
    </w:p>
    <w:p>
      <w:pPr>
        <w:pStyle w:val="Heading2"/>
        <w:keepNext/>
        <w:spacing w:before="200" w:after="80" w:line="276" w:lineRule="auto"/>
        <w:jc w:val="left"/>
      </w:pPr>
      <w:r>
        <w:rPr>
          <w:rFonts w:ascii="Times New Roman" w:hAnsi="Times New Roman"/>
          <w:b/>
          <w:color w:val="000000"/>
          <w:sz w:val="26"/>
        </w:rPr>
        <w:t>A.2 Supporting Evidence and Deployment Topology</w:t>
      </w:r>
    </w:p>
    <w:p>
      <w:pPr>
        <w:spacing w:line="276" w:lineRule="auto" w:after="120" w:before="0"/>
        <w:jc w:val="both"/>
      </w:pPr>
      <w:r>
        <w:rPr>
          <w:rFonts w:ascii="Times New Roman" w:hAnsi="Times New Roman"/>
          <w:color w:val="000000"/>
          <w:sz w:val="24"/>
        </w:rPr>
        <w:t>Figure A.1 illustrates the complete full-stack deployment topology linking the physical edge hardware (ESP32 MCU), the containerized FastAPI backend on Railway, and the React 19 single-page application on Vercel.</w:t>
      </w:r>
    </w:p>
    <w:p>
      <w:pPr>
        <w:spacing w:before="160" w:after="80"/>
        <w:jc w:val="center"/>
      </w:pPr>
      <w:r>
        <w:drawing>
          <wp:inline xmlns:a="http://schemas.openxmlformats.org/drawingml/2006/main" xmlns:pic="http://schemas.openxmlformats.org/drawingml/2006/picture">
            <wp:extent cx="5669280" cy="2519680"/>
            <wp:docPr id="10" name="Picture 10"/>
            <wp:cNvGraphicFramePr>
              <a:graphicFrameLocks noChangeAspect="1"/>
            </wp:cNvGraphicFramePr>
            <a:graphic>
              <a:graphicData uri="http://schemas.openxmlformats.org/drawingml/2006/picture">
                <pic:pic>
                  <pic:nvPicPr>
                    <pic:cNvPr id="0" name="figA_1_deployment_topology.png"/>
                    <pic:cNvPicPr/>
                  </pic:nvPicPr>
                  <pic:blipFill>
                    <a:blip r:embed="rId19"/>
                    <a:stretch>
                      <a:fillRect/>
                    </a:stretch>
                  </pic:blipFill>
                  <pic:spPr>
                    <a:xfrm>
                      <a:off x="0" y="0"/>
                      <a:ext cx="5669280" cy="2519680"/>
                    </a:xfrm>
                    <a:prstGeom prst="rect"/>
                  </pic:spPr>
                </pic:pic>
              </a:graphicData>
            </a:graphic>
          </wp:inline>
        </w:drawing>
      </w:r>
    </w:p>
    <w:p>
      <w:pPr>
        <w:keepNext/>
        <w:spacing w:before="0" w:after="160"/>
        <w:jc w:val="center"/>
      </w:pPr>
      <w:r>
        <w:rPr>
          <w:rFonts w:ascii="Times New Roman" w:hAnsi="Times New Roman"/>
          <w:b/>
          <w:color w:val="142850"/>
          <w:sz w:val="20"/>
        </w:rPr>
        <w:t>Figure A.1: Full-Stack Deployment Topology: Hardware Edge, FastAPI Backend, and React Frontend</w:t>
      </w:r>
    </w:p>
    <w:p>
      <w:pPr>
        <w:spacing w:line="276" w:lineRule="auto" w:after="120" w:before="0"/>
        <w:jc w:val="both"/>
      </w:pPr>
      <w:r>
        <w:rPr>
          <w:rFonts w:ascii="Times New Roman" w:hAnsi="Times New Roman"/>
          <w:b/>
          <w:color w:val="000000"/>
          <w:sz w:val="24"/>
        </w:rPr>
        <w:t xml:space="preserve">Listing A.1: </w:t>
      </w:r>
      <w:r>
        <w:rPr>
          <w:rFonts w:ascii="Times New Roman" w:hAnsi="Times New Roman"/>
          <w:color w:val="000000"/>
          <w:sz w:val="24"/>
        </w:rPr>
        <w:t>Core Implementation Excerpt 1: Circular Signal Ring Buffer (app/services/event_service.py):</w:t>
      </w:r>
    </w:p>
    <w:p>
      <w:pPr>
        <w:spacing w:line="276" w:lineRule="auto" w:after="120" w:before="0"/>
        <w:jc w:val="both"/>
      </w:pPr>
      <w:r>
        <w:rPr>
          <w:rFonts w:ascii="Times New Roman" w:hAnsi="Times New Roman"/>
          <w:color w:val="000000"/>
          <w:sz w:val="24"/>
        </w:rPr>
        <w:t>class CircularSignalBuffer:</w:t>
        <w:br/>
        <w:t xml:space="preserve">    def __init__(self, capacity: int = 50000):</w:t>
        <w:br/>
        <w:t xml:space="preserve">        self.capacity = capacity</w:t>
        <w:br/>
        <w:t xml:space="preserve">        self.samples = collections.deque(maxlen=capacity)</w:t>
        <w:br/>
        <w:t xml:space="preserve">        self.timestamps = collections.deque(maxlen=capacity)</w:t>
        <w:br/>
        <w:t xml:space="preserve">    def append(self, timestamp: float, sample: float) -&gt; None:</w:t>
        <w:br/>
        <w:t xml:space="preserve">        self.samples.append(sample)</w:t>
        <w:br/>
        <w:t xml:space="preserve">        self.timestamps.append(timestamp)</w:t>
        <w:br/>
        <w:t xml:space="preserve">    def get_window(self, duration_s: float, current_time: float):</w:t>
        <w:br/>
        <w:t xml:space="preserve">        start_time = current_time - duration_s</w:t>
        <w:br/>
        <w:t xml:space="preserve">        ts, sm = list(self.timestamps), list(self.samples)</w:t>
        <w:br/>
        <w:t xml:space="preserve">        idx = next((i for i, t in enumerate(ts) if t &gt;= start_time), 0)</w:t>
        <w:br/>
        <w:t xml:space="preserve">        return np.array(ts[idx:]), np.array(sm[idx:])</w:t>
      </w:r>
    </w:p>
    <w:p>
      <w:pPr>
        <w:spacing w:line="276" w:lineRule="auto" w:after="120" w:before="0"/>
        <w:jc w:val="both"/>
      </w:pPr>
      <w:r>
        <w:rPr>
          <w:rFonts w:ascii="Times New Roman" w:hAnsi="Times New Roman"/>
          <w:b/>
          <w:color w:val="000000"/>
          <w:sz w:val="24"/>
        </w:rPr>
        <w:t xml:space="preserve">Listing A.2: </w:t>
      </w:r>
      <w:r>
        <w:rPr>
          <w:rFonts w:ascii="Times New Roman" w:hAnsi="Times New Roman"/>
          <w:color w:val="000000"/>
          <w:sz w:val="24"/>
        </w:rPr>
        <w:t>Core Implementation Excerpt 2: Asynchronous Level-Crossing Quantization (app/processing/level_crossing.py):</w:t>
      </w:r>
    </w:p>
    <w:p>
      <w:pPr>
        <w:spacing w:line="276" w:lineRule="auto" w:after="120" w:before="0"/>
        <w:jc w:val="both"/>
      </w:pPr>
      <w:r>
        <w:rPr>
          <w:rFonts w:ascii="Times New Roman" w:hAnsi="Times New Roman"/>
          <w:color w:val="000000"/>
          <w:sz w:val="24"/>
        </w:rPr>
        <w:t>def level_crossing_sampling(signal: np.ndarray, level_spacing: float, hysteresis: float):</w:t>
        <w:br/>
        <w:t xml:space="preserve">    sampled_times, sampled_values = [0.0], [signal[0]]</w:t>
        <w:br/>
        <w:t xml:space="preserve">    current_level = round(signal[0] / level_spacing)</w:t>
        <w:br/>
        <w:t xml:space="preserve">    for i in range(1, len(signal)):</w:t>
        <w:br/>
        <w:t xml:space="preserve">        diff = signal[i] - (current_level * level_spacing)</w:t>
        <w:br/>
        <w:t xml:space="preserve">        if abs(diff) &gt;= (level_spacing + hysteresis):</w:t>
        <w:br/>
        <w:t xml:space="preserve">            new_level = round(signal[i] / level_spacing)</w:t>
        <w:br/>
        <w:t xml:space="preserve">            sampled_times.append(i)</w:t>
        <w:br/>
        <w:t xml:space="preserve">            sampled_values.append(new_level * level_spacing)</w:t>
        <w:br/>
        <w:t xml:space="preserve">            current_level = new_level</w:t>
        <w:br/>
        <w:t xml:space="preserve">    return {'sample_count': len(sampled_times), 'reduction_percent': 100 * (1 - len(sampled_times)/len(signal))}</w:t>
      </w:r>
    </w:p>
    <w:p>
      <w:r>
        <w:br w:type="page"/>
      </w:r>
    </w:p>
    <w:p>
      <w:pPr>
        <w:pStyle w:val="Heading1"/>
        <w:keepNext/>
        <w:spacing w:before="280" w:after="120" w:line="276" w:lineRule="auto"/>
        <w:jc w:val="left"/>
      </w:pPr>
      <w:r>
        <w:rPr>
          <w:rFonts w:ascii="Times New Roman" w:hAnsi="Times New Roman"/>
          <w:b/>
          <w:color w:val="000000"/>
          <w:sz w:val="30"/>
        </w:rPr>
        <w:t>Appendix B Team Contributions and Review Progress</w:t>
      </w:r>
    </w:p>
    <w:p>
      <w:pPr>
        <w:pStyle w:val="Heading2"/>
        <w:keepNext/>
        <w:spacing w:before="200" w:after="80" w:line="276" w:lineRule="auto"/>
        <w:jc w:val="left"/>
      </w:pPr>
      <w:r>
        <w:rPr>
          <w:rFonts w:ascii="Times New Roman" w:hAnsi="Times New Roman"/>
          <w:b/>
          <w:color w:val="000000"/>
          <w:sz w:val="26"/>
        </w:rPr>
        <w:t>B.1 Individual Contributions</w:t>
      </w:r>
    </w:p>
    <w:p>
      <w:pPr>
        <w:spacing w:line="276" w:lineRule="auto" w:after="120" w:before="0"/>
        <w:jc w:val="both"/>
      </w:pPr>
      <w:r>
        <w:rPr>
          <w:rFonts w:ascii="Times New Roman" w:hAnsi="Times New Roman"/>
          <w:color w:val="000000"/>
          <w:sz w:val="24"/>
        </w:rPr>
        <w:t>The project was executed through collaborative teamwork under the guidance of Mr. N Lava Prasad. Table B.1 details the specific technical tasks, engineering responsibilities, and delivered components completed by each team member.</w:t>
      </w:r>
    </w:p>
    <w:tbl>
      <w:tblPr>
        <w:tblStyle w:val="TableGrid"/>
        <w:tblW w:type="auto" w:w="0"/>
        <w:jc w:val="center"/>
        <w:tblLook w:firstColumn="1" w:firstRow="1" w:lastColumn="0" w:lastRow="0" w:noHBand="0" w:noVBand="1" w:val="04A0"/>
      </w:tblPr>
      <w:tblGrid>
        <w:gridCol w:w="3144"/>
        <w:gridCol w:w="3144"/>
        <w:gridCol w:w="3144"/>
      </w:tblGrid>
      <w:tr>
        <w:trPr>
          <w:tblHeader/>
        </w:trPr>
        <w:tc>
          <w:tcPr>
            <w:tcW w:type="dxa" w:w="2592"/>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Member Name and Registration Number</w:t>
            </w:r>
          </w:p>
        </w:tc>
        <w:tc>
          <w:tcPr>
            <w:tcW w:type="dxa" w:w="3744"/>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Assigned Engineering Role &amp; Work Completed</w:t>
            </w:r>
          </w:p>
        </w:tc>
        <w:tc>
          <w:tcPr>
            <w:tcW w:type="dxa" w:w="3168"/>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Verifiable Artifact or Deliverable</w:t>
            </w:r>
          </w:p>
        </w:tc>
      </w:tr>
      <w:tr>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Rahul Bodduna</w:t>
              <w:br/>
              <w:t>(Reg. No. 2520040002)</w:t>
            </w:r>
          </w:p>
        </w:tc>
        <w:tc>
          <w:tcPr>
            <w:tcW w:type="dxa" w:w="3744"/>
            <w:tcMar>
              <w:top w:w="100" w:type="dxa"/>
              <w:bottom w:w="100" w:type="dxa"/>
              <w:left w:w="130" w:type="dxa"/>
              <w:right w:w="130" w:type="dxa"/>
            </w:tcMar>
          </w:tcPr>
          <w:p>
            <w:pPr>
              <w:spacing w:line="252" w:lineRule="auto" w:before="0" w:after="0"/>
              <w:jc w:val="left"/>
            </w:pPr>
            <w:r>
              <w:rPr>
                <w:rFonts w:ascii="Times New Roman" w:hAnsi="Times New Roman"/>
                <w:color w:val="141414"/>
                <w:sz w:val="19"/>
              </w:rPr>
              <w:t>Lead Signal Processing &amp; Algorithm Engineer:</w:t>
              <w:br/>
              <w:t>• Formulated Short-Term Energy, RMS, discrete slope, and STFT spectral band algorithms</w:t>
              <w:br/>
              <w:t>• Designed asynchronous level-crossing sampling and delta change quantization algorithms</w:t>
              <w:br/>
              <w:t>• Authored automated unit test suites in backend/tests/test_processing.py</w:t>
              <w:br/>
              <w:t>• Authored Chapters 2 and 3 of the final project report</w:t>
            </w:r>
          </w:p>
        </w:tc>
        <w:tc>
          <w:tcPr>
            <w:tcW w:type="dxa" w:w="3168"/>
            <w:tcMar>
              <w:top w:w="100" w:type="dxa"/>
              <w:bottom w:w="100" w:type="dxa"/>
              <w:left w:w="130" w:type="dxa"/>
              <w:right w:w="130" w:type="dxa"/>
            </w:tcMar>
          </w:tcPr>
          <w:p>
            <w:pPr>
              <w:spacing w:line="252" w:lineRule="auto" w:before="0" w:after="0"/>
              <w:jc w:val="left"/>
            </w:pPr>
            <w:r>
              <w:rPr>
                <w:rFonts w:ascii="Times New Roman" w:hAnsi="Times New Roman"/>
                <w:color w:val="141414"/>
                <w:sz w:val="19"/>
              </w:rPr>
              <w:t>backend/app/processing/ modules (energy.py, rms.py, slope.py, frequency.py, level_crossing.py), test_processing.py</w:t>
            </w:r>
          </w:p>
        </w:tc>
      </w:tr>
      <w:tr>
        <w:tc>
          <w:tcPr>
            <w:tcW w:type="dxa" w:w="2592"/>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Harishwar Reddy Mogiligari</w:t>
              <w:br/>
              <w:t>(Reg. No. 2520040015)</w:t>
            </w:r>
          </w:p>
        </w:tc>
        <w:tc>
          <w:tcPr>
            <w:tcW w:type="dxa" w:w="374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Embedded Systems &amp; Hardware Integration Lead:</w:t>
              <w:br/>
              <w:t>• Designed and calibrated 5-state FSM debounce (100 ms) and hysteresis (0.70x) logic</w:t>
              <w:br/>
              <w:t>• Developed ESP32 firmware ADC ingestion client and REST hardware registration API</w:t>
              <w:br/>
              <w:t>• Formulated battery lifetime, Peukert models, and memory footprint mathematical equations</w:t>
              <w:br/>
              <w:t>• Conducted multi-modal simulation benchmarks and authored Chapter 4 of the report</w:t>
            </w:r>
          </w:p>
        </w:tc>
        <w:tc>
          <w:tcPr>
            <w:tcW w:type="dxa" w:w="3168"/>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backend/app/services/event_service.py, backend/app/efficiency/ (memory.py, energy.py, sampling.py), hardware API route</w:t>
            </w:r>
          </w:p>
        </w:tc>
      </w:tr>
      <w:tr>
        <w:tc>
          <w:tcPr>
            <w:tcW w:type="dxa" w:w="2592"/>
            <w:tcMar>
              <w:top w:w="100" w:type="dxa"/>
              <w:bottom w:w="100" w:type="dxa"/>
              <w:left w:w="130" w:type="dxa"/>
              <w:right w:w="130" w:type="dxa"/>
            </w:tcMar>
          </w:tcPr>
          <w:p>
            <w:pPr>
              <w:spacing w:line="252" w:lineRule="auto" w:before="0" w:after="0"/>
              <w:jc w:val="left"/>
            </w:pPr>
            <w:r>
              <w:rPr>
                <w:rFonts w:ascii="Times New Roman" w:hAnsi="Times New Roman"/>
                <w:color w:val="141414"/>
                <w:sz w:val="19"/>
              </w:rPr>
              <w:t>Akshay Boppudi</w:t>
              <w:br/>
              <w:t>(Reg. No. 2520040029)</w:t>
            </w:r>
          </w:p>
        </w:tc>
        <w:tc>
          <w:tcPr>
            <w:tcW w:type="dxa" w:w="3744"/>
            <w:tcMar>
              <w:top w:w="100" w:type="dxa"/>
              <w:bottom w:w="100" w:type="dxa"/>
              <w:left w:w="130" w:type="dxa"/>
              <w:right w:w="130" w:type="dxa"/>
            </w:tcMar>
          </w:tcPr>
          <w:p>
            <w:pPr>
              <w:spacing w:line="252" w:lineRule="auto" w:before="0" w:after="0"/>
              <w:jc w:val="left"/>
            </w:pPr>
            <w:r>
              <w:rPr>
                <w:rFonts w:ascii="Times New Roman" w:hAnsi="Times New Roman"/>
                <w:color w:val="141414"/>
                <w:sz w:val="19"/>
              </w:rPr>
              <w:t>Full-Stack Architect &amp; Production Deployment Lead:</w:t>
              <w:br/>
              <w:t>• Architected asynchronous FastAPI backend, SQLite database schemas, and 20 Hz WebSocket server</w:t>
              <w:br/>
              <w:t>• Developed React 19 single-page application with Recharts rolling chart and 60 FPS loop</w:t>
              <w:br/>
              <w:t>• Orchestrated cloud deployments on Railway (backend container) and Vercel (Edge CDN)</w:t>
              <w:br/>
              <w:t>• Synthesized experimental data plots, confusion matrices, and authored Chapters 1, 5, and 6</w:t>
            </w:r>
          </w:p>
        </w:tc>
        <w:tc>
          <w:tcPr>
            <w:tcW w:type="dxa" w:w="3168"/>
            <w:tcMar>
              <w:top w:w="100" w:type="dxa"/>
              <w:bottom w:w="100" w:type="dxa"/>
              <w:left w:w="130" w:type="dxa"/>
              <w:right w:w="130" w:type="dxa"/>
            </w:tcMar>
          </w:tcPr>
          <w:p>
            <w:pPr>
              <w:spacing w:line="252" w:lineRule="auto" w:before="0" w:after="0"/>
              <w:jc w:val="left"/>
            </w:pPr>
            <w:r>
              <w:rPr>
                <w:rFonts w:ascii="Times New Roman" w:hAnsi="Times New Roman"/>
                <w:color w:val="141414"/>
                <w:sz w:val="19"/>
              </w:rPr>
              <w:t>backend/app/main.py, app/api/websocket.py, event-sensing-system/ (React UI), DEPLOYMENT.md, live deployed URLs</w:t>
            </w:r>
          </w:p>
        </w:tc>
      </w:tr>
    </w:tbl>
    <w:p>
      <w:pPr>
        <w:spacing w:before="0" w:after="120"/>
      </w:pPr>
    </w:p>
    <w:p>
      <w:pPr>
        <w:pStyle w:val="Heading2"/>
        <w:keepNext/>
        <w:spacing w:before="200" w:after="80" w:line="276" w:lineRule="auto"/>
        <w:jc w:val="left"/>
      </w:pPr>
      <w:r>
        <w:rPr>
          <w:rFonts w:ascii="Times New Roman" w:hAnsi="Times New Roman"/>
          <w:b/>
          <w:color w:val="000000"/>
          <w:sz w:val="26"/>
        </w:rPr>
        <w:t>B.2 Review Feedback and Actions Taken</w:t>
      </w:r>
    </w:p>
    <w:p>
      <w:pPr>
        <w:spacing w:line="276" w:lineRule="auto" w:after="120" w:before="0"/>
        <w:jc w:val="both"/>
      </w:pPr>
      <w:r>
        <w:rPr>
          <w:rFonts w:ascii="Times New Roman" w:hAnsi="Times New Roman"/>
          <w:color w:val="000000"/>
          <w:sz w:val="24"/>
        </w:rPr>
        <w:t>Throughout the course of the project, formal reviews were conducted by departmental faculty. Table B.2 summarizes the feedback received during each evaluation milestone and the corresponding technical actions implemented.</w:t>
      </w:r>
    </w:p>
    <w:tbl>
      <w:tblPr>
        <w:tblStyle w:val="TableGrid"/>
        <w:tblW w:type="auto" w:w="0"/>
        <w:jc w:val="center"/>
        <w:tblLook w:firstColumn="1" w:firstRow="1" w:lastColumn="0" w:lastRow="0" w:noHBand="0" w:noVBand="1" w:val="04A0"/>
      </w:tblPr>
      <w:tblGrid>
        <w:gridCol w:w="3144"/>
        <w:gridCol w:w="3144"/>
        <w:gridCol w:w="3144"/>
      </w:tblGrid>
      <w:tr>
        <w:trPr>
          <w:tblHeader/>
        </w:trPr>
        <w:tc>
          <w:tcPr>
            <w:tcW w:type="dxa" w:w="2160"/>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Review Stage &amp; Date</w:t>
            </w:r>
          </w:p>
        </w:tc>
        <w:tc>
          <w:tcPr>
            <w:tcW w:type="dxa" w:w="3600"/>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Faculty Reviewer Feedback &amp; Comments Received</w:t>
            </w:r>
          </w:p>
        </w:tc>
        <w:tc>
          <w:tcPr>
            <w:tcW w:type="dxa" w:w="3744"/>
            <w:shd w:fill="EBF1F5"/>
            <w:tcMar>
              <w:top w:w="140" w:type="dxa"/>
              <w:bottom w:w="140" w:type="dxa"/>
              <w:left w:w="140" w:type="dxa"/>
              <w:right w:w="140" w:type="dxa"/>
            </w:tcMar>
          </w:tcPr>
          <w:p>
            <w:pPr>
              <w:spacing w:line="252" w:lineRule="auto" w:before="0" w:after="0"/>
              <w:jc w:val="center"/>
            </w:pPr>
            <w:r>
              <w:rPr>
                <w:rFonts w:ascii="Times New Roman" w:hAnsi="Times New Roman"/>
                <w:b/>
                <w:color w:val="0A1E3C"/>
                <w:sz w:val="20"/>
              </w:rPr>
              <w:t>Corrective Action Taken &amp; Verifiable Location</w:t>
            </w:r>
          </w:p>
        </w:tc>
      </w:tr>
      <w:tr>
        <w:tc>
          <w:tcPr>
            <w:tcW w:type="dxa" w:w="2160"/>
            <w:tcMar>
              <w:top w:w="100" w:type="dxa"/>
              <w:bottom w:w="100" w:type="dxa"/>
              <w:left w:w="130" w:type="dxa"/>
              <w:right w:w="130" w:type="dxa"/>
            </w:tcMar>
          </w:tcPr>
          <w:p>
            <w:pPr>
              <w:spacing w:line="252" w:lineRule="auto" w:before="0" w:after="0"/>
              <w:jc w:val="left"/>
            </w:pPr>
            <w:r>
              <w:rPr>
                <w:rFonts w:ascii="Times New Roman" w:hAnsi="Times New Roman"/>
                <w:color w:val="141414"/>
                <w:sz w:val="19"/>
              </w:rPr>
              <w:t>Zeroth Review</w:t>
              <w:br/>
              <w:t>(Initial Concept Stage)</w:t>
            </w:r>
          </w:p>
        </w:tc>
        <w:tc>
          <w:tcPr>
            <w:tcW w:type="dxa" w:w="3600"/>
            <w:tcMar>
              <w:top w:w="100" w:type="dxa"/>
              <w:bottom w:w="100" w:type="dxa"/>
              <w:left w:w="130" w:type="dxa"/>
              <w:right w:w="130" w:type="dxa"/>
            </w:tcMar>
          </w:tcPr>
          <w:p>
            <w:pPr>
              <w:spacing w:line="252" w:lineRule="auto" w:before="0" w:after="0"/>
              <w:jc w:val="left"/>
            </w:pPr>
            <w:r>
              <w:rPr>
                <w:rFonts w:ascii="Times New Roman" w:hAnsi="Times New Roman"/>
                <w:color w:val="141414"/>
                <w:sz w:val="19"/>
              </w:rPr>
              <w:t>• Scope was initially limited to single-sensor audio thresholding</w:t>
              <w:br/>
              <w:t>• Reviewers questioned vulnerability to Dirac noise spikes and leading-edge transient loss</w:t>
              <w:br/>
              <w:t>• Recommended exploring multi-modal sensing and mathematical memory models</w:t>
            </w:r>
          </w:p>
        </w:tc>
        <w:tc>
          <w:tcPr>
            <w:tcW w:type="dxa" w:w="3744"/>
            <w:tcMar>
              <w:top w:w="100" w:type="dxa"/>
              <w:bottom w:w="100" w:type="dxa"/>
              <w:left w:w="130" w:type="dxa"/>
              <w:right w:w="130" w:type="dxa"/>
            </w:tcMar>
          </w:tcPr>
          <w:p>
            <w:pPr>
              <w:spacing w:line="252" w:lineRule="auto" w:before="0" w:after="0"/>
              <w:jc w:val="left"/>
            </w:pPr>
            <w:r>
              <w:rPr>
                <w:rFonts w:ascii="Times New Roman" w:hAnsi="Times New Roman"/>
                <w:color w:val="141414"/>
                <w:sz w:val="19"/>
              </w:rPr>
              <w:t>• Expanded project scope to multi-modal signals (audio, vibration, video, thermal, light)</w:t>
              <w:br/>
              <w:t>• Introduced lock-free circular ring buffers (2.0s pre-buffer) to prevent transient clipping</w:t>
              <w:br/>
              <w:t>• Documented in Section 1.3, Section 3.1, and Figure 3.1</w:t>
            </w:r>
          </w:p>
        </w:tc>
      </w:tr>
      <w:tr>
        <w:tc>
          <w:tcPr>
            <w:tcW w:type="dxa" w:w="216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Review 1</w:t>
              <w:br/>
              <w:t>(Mid-Term Evaluation)</w:t>
            </w:r>
          </w:p>
        </w:tc>
        <w:tc>
          <w:tcPr>
            <w:tcW w:type="dxa" w:w="3600"/>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 Preliminary 3-state FSM exhibited state chattering during acoustic decay tails</w:t>
              <w:br/>
              <w:t>• Static amplitude thresholds produced false alarms under changing background noise</w:t>
              <w:br/>
              <w:t>• Requested automated unit tests and empirical latency profiling</w:t>
            </w:r>
          </w:p>
        </w:tc>
        <w:tc>
          <w:tcPr>
            <w:tcW w:type="dxa" w:w="3744"/>
            <w:shd w:fill="F9FBFC"/>
            <w:tcMar>
              <w:top w:w="100" w:type="dxa"/>
              <w:bottom w:w="100" w:type="dxa"/>
              <w:left w:w="130" w:type="dxa"/>
              <w:right w:w="130" w:type="dxa"/>
            </w:tcMar>
          </w:tcPr>
          <w:p>
            <w:pPr>
              <w:spacing w:line="252" w:lineRule="auto" w:before="0" w:after="0"/>
              <w:jc w:val="left"/>
            </w:pPr>
            <w:r>
              <w:rPr>
                <w:rFonts w:ascii="Times New Roman" w:hAnsi="Times New Roman"/>
                <w:color w:val="141414"/>
                <w:sz w:val="19"/>
              </w:rPr>
              <w:t>• Upgraded FSM to 5 states with 100 ms debounce and 0.70x hysteresis release</w:t>
              <w:br/>
              <w:t>• Integrated multi-feature fusion (energy + slope + FFT band + z-score)</w:t>
              <w:br/>
              <w:t>• Created 12 automated unit tests in backend/tests/ (100% pass rate)</w:t>
              <w:br/>
              <w:t>• Documented in Section 3.4, Section 4.4, and Table 5.2</w:t>
            </w:r>
          </w:p>
        </w:tc>
      </w:tr>
      <w:tr>
        <w:tc>
          <w:tcPr>
            <w:tcW w:type="dxa" w:w="2160"/>
            <w:tcMar>
              <w:top w:w="100" w:type="dxa"/>
              <w:bottom w:w="100" w:type="dxa"/>
              <w:left w:w="130" w:type="dxa"/>
              <w:right w:w="130" w:type="dxa"/>
            </w:tcMar>
          </w:tcPr>
          <w:p>
            <w:pPr>
              <w:spacing w:line="252" w:lineRule="auto" w:before="0" w:after="0"/>
              <w:jc w:val="left"/>
            </w:pPr>
            <w:r>
              <w:rPr>
                <w:rFonts w:ascii="Times New Roman" w:hAnsi="Times New Roman"/>
                <w:color w:val="141414"/>
                <w:sz w:val="19"/>
              </w:rPr>
              <w:t>Review 2</w:t>
              <w:br/>
              <w:t>(Final Pre-Submission)</w:t>
            </w:r>
          </w:p>
        </w:tc>
        <w:tc>
          <w:tcPr>
            <w:tcW w:type="dxa" w:w="3600"/>
            <w:tcMar>
              <w:top w:w="100" w:type="dxa"/>
              <w:bottom w:w="100" w:type="dxa"/>
              <w:left w:w="130" w:type="dxa"/>
              <w:right w:w="130" w:type="dxa"/>
            </w:tcMar>
          </w:tcPr>
          <w:p>
            <w:pPr>
              <w:spacing w:line="252" w:lineRule="auto" w:before="0" w:after="0"/>
              <w:jc w:val="left"/>
            </w:pPr>
            <w:r>
              <w:rPr>
                <w:rFonts w:ascii="Times New Roman" w:hAnsi="Times New Roman"/>
                <w:color w:val="141414"/>
                <w:sz w:val="19"/>
              </w:rPr>
              <w:t>• Demanded end-to-end full-stack demonstration beyond offline Python scripts</w:t>
              <w:br/>
              <w:t>• Requested quantitative comparison with level-crossing non-uniform sampling</w:t>
              <w:br/>
              <w:t>• Required rigorous battery lifetime estimates on standard 2000 mAh cells</w:t>
            </w:r>
          </w:p>
        </w:tc>
        <w:tc>
          <w:tcPr>
            <w:tcW w:type="dxa" w:w="3744"/>
            <w:tcMar>
              <w:top w:w="100" w:type="dxa"/>
              <w:bottom w:w="100" w:type="dxa"/>
              <w:left w:w="130" w:type="dxa"/>
              <w:right w:w="130" w:type="dxa"/>
            </w:tcMar>
          </w:tcPr>
          <w:p>
            <w:pPr>
              <w:spacing w:line="252" w:lineRule="auto" w:before="0" w:after="0"/>
              <w:jc w:val="left"/>
            </w:pPr>
            <w:r>
              <w:rPr>
                <w:rFonts w:ascii="Times New Roman" w:hAnsi="Times New Roman"/>
                <w:color w:val="141414"/>
                <w:sz w:val="19"/>
              </w:rPr>
              <w:t>• Built and deployed React 19 dashboard on Vercel and FastAPI backend on Railway</w:t>
              <w:br/>
              <w:t>• Implemented asynchronous level-crossing sampling (Figure 4.1, Figure 5.4)</w:t>
              <w:br/>
              <w:t>• Calculated Peukert battery life extension (342.6 hrs vs 74 hrs, Table 5.1)</w:t>
              <w:br/>
              <w:t>• Fully documented in Chapters 4, 5, and Appendices A and B</w:t>
            </w:r>
          </w:p>
        </w:tc>
      </w:tr>
    </w:tbl>
    <w:p>
      <w:pPr>
        <w:spacing w:before="0" w:after="120"/>
      </w:pPr>
    </w:p>
    <w:sectPr w:rsidR="00FC693F" w:rsidRPr="0006063C" w:rsidSect="00034616">
      <w:footerReference w:type="default" r:id="rId9"/>
      <w:pgSz w:w="12240" w:h="15840"/>
      <w:pgMar w:top="1224" w:right="1224" w:bottom="1224" w:left="158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KLEF Signal Processing Final Project Report Template</dc:title>
  <dc:subject>Editable student project report template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