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D43C" w14:textId="77777777" w:rsidR="00A11513" w:rsidRPr="00A11513" w:rsidRDefault="00A11513" w:rsidP="00A11513">
      <w:pPr>
        <w:rPr>
          <w:b/>
          <w:bCs/>
        </w:rPr>
      </w:pPr>
      <w:r w:rsidRPr="00A11513">
        <w:rPr>
          <w:b/>
          <w:bCs/>
        </w:rPr>
        <w:t>Fine-tuning architecture review: v2.3 document and Implementation MDs</w:t>
      </w:r>
    </w:p>
    <w:p w14:paraId="0574035A" w14:textId="77777777" w:rsidR="00A11513" w:rsidRPr="00A11513" w:rsidRDefault="00A11513" w:rsidP="00A11513">
      <w:r w:rsidRPr="00A11513">
        <w:rPr>
          <w:b/>
          <w:bCs/>
        </w:rPr>
        <w:t>Overall verdict:</w:t>
      </w:r>
      <w:r w:rsidRPr="00A11513">
        <w:t xml:space="preserve"> The engineering underneath is strong. The architecture has three main problems:</w:t>
      </w:r>
    </w:p>
    <w:p w14:paraId="4EB1496B" w14:textId="77777777" w:rsidR="00A11513" w:rsidRPr="00A11513" w:rsidRDefault="00A11513" w:rsidP="00A11513">
      <w:pPr>
        <w:numPr>
          <w:ilvl w:val="0"/>
          <w:numId w:val="1"/>
        </w:numPr>
      </w:pPr>
      <w:r w:rsidRPr="00A11513">
        <w:rPr>
          <w:b/>
          <w:bCs/>
        </w:rPr>
        <w:t>It contradicts several product decisions already made.</w:t>
      </w:r>
      <w:r w:rsidRPr="00A11513">
        <w:t xml:space="preserve"> These include the full-document rule, the 30 s SLA, the CPU/quantized deployment rationale, the carrier hold-out rule and the frontier-model position.</w:t>
      </w:r>
    </w:p>
    <w:p w14:paraId="025A70C8" w14:textId="77777777" w:rsidR="00A11513" w:rsidRPr="00A11513" w:rsidRDefault="00A11513" w:rsidP="00A11513">
      <w:pPr>
        <w:numPr>
          <w:ilvl w:val="0"/>
          <w:numId w:val="1"/>
        </w:numPr>
      </w:pPr>
      <w:r w:rsidRPr="00A11513">
        <w:rPr>
          <w:b/>
          <w:bCs/>
        </w:rPr>
        <w:t>Most of the design is not built yet.</w:t>
      </w:r>
      <w:r w:rsidRPr="00A11513">
        <w:t xml:space="preserve"> The document marks something as “designed; not yet built” about 60 times.</w:t>
      </w:r>
    </w:p>
    <w:p w14:paraId="62A55324" w14:textId="77777777" w:rsidR="00A11513" w:rsidRPr="00A11513" w:rsidRDefault="00A11513" w:rsidP="00A11513">
      <w:pPr>
        <w:numPr>
          <w:ilvl w:val="0"/>
          <w:numId w:val="1"/>
        </w:numPr>
      </w:pPr>
      <w:r w:rsidRPr="00A11513">
        <w:rPr>
          <w:b/>
          <w:bCs/>
        </w:rPr>
        <w:t>The one adapter trained so far misses the pilot target by a wide margin.</w:t>
      </w:r>
      <w:r w:rsidRPr="00A11513">
        <w:t xml:space="preserve"> It scores 0.665 field match on validation against a 0.85 target.</w:t>
      </w:r>
    </w:p>
    <w:p w14:paraId="7B73658B" w14:textId="77777777" w:rsidR="00A11513" w:rsidRPr="00A11513" w:rsidRDefault="00A11513" w:rsidP="00A11513">
      <w:pPr>
        <w:rPr>
          <w:b/>
          <w:bCs/>
        </w:rPr>
      </w:pPr>
      <w:r w:rsidRPr="00A11513">
        <w:rPr>
          <w:b/>
          <w:bCs/>
        </w:rPr>
        <w:t>What is good</w:t>
      </w:r>
    </w:p>
    <w:p w14:paraId="150B71B2" w14:textId="77777777" w:rsidR="00A11513" w:rsidRPr="00A11513" w:rsidRDefault="00A11513" w:rsidP="00A11513">
      <w:pPr>
        <w:numPr>
          <w:ilvl w:val="0"/>
          <w:numId w:val="2"/>
        </w:numPr>
      </w:pPr>
      <w:r w:rsidRPr="00A11513">
        <w:rPr>
          <w:b/>
          <w:bCs/>
        </w:rPr>
        <w:t>Train/serve parity is treated as a first-class risk.</w:t>
      </w:r>
      <w:r w:rsidRPr="00A11513">
        <w:t xml:space="preserve"> One prompt renderer serves both sides, and serving refuses a release whose prompt hash differs. The pixel budget, page-window planner and normalisation are each defined once and shared.</w:t>
      </w:r>
    </w:p>
    <w:p w14:paraId="7315783A" w14:textId="77777777" w:rsidR="00A11513" w:rsidRPr="00A11513" w:rsidRDefault="00A11513" w:rsidP="00A11513">
      <w:pPr>
        <w:numPr>
          <w:ilvl w:val="0"/>
          <w:numId w:val="2"/>
        </w:numPr>
      </w:pPr>
      <w:r w:rsidRPr="00A11513">
        <w:rPr>
          <w:b/>
          <w:bCs/>
        </w:rPr>
        <w:t>The checkpoint is chosen by its actual extraction output, not training loss.</w:t>
      </w:r>
      <w:r w:rsidRPr="00A11513">
        <w:t xml:space="preserve"> The CGL run proved this matters: the lowest-loss checkpoint scored 0.327 against 0.665 for the one selected.</w:t>
      </w:r>
    </w:p>
    <w:p w14:paraId="19B23C9D" w14:textId="77777777" w:rsidR="00A11513" w:rsidRPr="00A11513" w:rsidRDefault="00A11513" w:rsidP="00A11513">
      <w:pPr>
        <w:numPr>
          <w:ilvl w:val="0"/>
          <w:numId w:val="2"/>
        </w:numPr>
      </w:pPr>
      <w:r w:rsidRPr="00A11513">
        <w:rPr>
          <w:b/>
          <w:bCs/>
        </w:rPr>
        <w:t>Labels are never truncated, and windows that cannot be learned are dropped.</w:t>
      </w:r>
      <w:r w:rsidRPr="00A11513">
        <w:t xml:space="preserve"> A window whose target holds a value no page prints is left out of training, which avoids teaching the model to invent values.</w:t>
      </w:r>
    </w:p>
    <w:p w14:paraId="65CC0A1B" w14:textId="77777777" w:rsidR="00A11513" w:rsidRPr="00A11513" w:rsidRDefault="00A11513" w:rsidP="00A11513">
      <w:pPr>
        <w:numPr>
          <w:ilvl w:val="0"/>
          <w:numId w:val="2"/>
        </w:numPr>
      </w:pPr>
      <w:r w:rsidRPr="00A11513">
        <w:rPr>
          <w:b/>
          <w:bCs/>
        </w:rPr>
        <w:t>Splits are by document family, not by document.</w:t>
      </w:r>
      <w:r w:rsidRPr="00A11513">
        <w:t xml:space="preserve"> Near-duplicates are grouped and synthetic twins are capped, which prevents renewals and shared templates leaking into test.</w:t>
      </w:r>
    </w:p>
    <w:p w14:paraId="5FAC9B0D" w14:textId="77777777" w:rsidR="00A11513" w:rsidRPr="00A11513" w:rsidRDefault="00A11513" w:rsidP="00A11513">
      <w:pPr>
        <w:numPr>
          <w:ilvl w:val="0"/>
          <w:numId w:val="2"/>
        </w:numPr>
      </w:pPr>
      <w:r w:rsidRPr="00A11513">
        <w:rPr>
          <w:b/>
          <w:bCs/>
        </w:rPr>
        <w:t>Confidence comes from a calibrated model of several signals, not a raw probability.</w:t>
      </w:r>
      <w:r w:rsidRPr="00A11513">
        <w:t xml:space="preserve"> Review thresholds are set to meet a stated error rate, on a separate half of the validation data. Missed rows on lists get their own completeness signal.</w:t>
      </w:r>
    </w:p>
    <w:p w14:paraId="7BC53B7A" w14:textId="77777777" w:rsidR="00A11513" w:rsidRPr="00A11513" w:rsidRDefault="00A11513" w:rsidP="00A11513">
      <w:pPr>
        <w:numPr>
          <w:ilvl w:val="0"/>
          <w:numId w:val="2"/>
        </w:numPr>
      </w:pPr>
      <w:r w:rsidRPr="00A11513">
        <w:rPr>
          <w:b/>
          <w:bCs/>
        </w:rPr>
        <w:t>Promotion requires both absolute floors and a non-inferiority test.</w:t>
      </w:r>
      <w:r w:rsidRPr="00A11513">
        <w:t xml:space="preserve"> An override needs a named approver and a written reason.</w:t>
      </w:r>
    </w:p>
    <w:p w14:paraId="5887BDE4" w14:textId="77777777" w:rsidR="00A11513" w:rsidRPr="00A11513" w:rsidRDefault="00A11513" w:rsidP="00A11513">
      <w:pPr>
        <w:numPr>
          <w:ilvl w:val="0"/>
          <w:numId w:val="2"/>
        </w:numPr>
      </w:pPr>
      <w:r w:rsidRPr="00A11513">
        <w:rPr>
          <w:b/>
          <w:bCs/>
        </w:rPr>
        <w:t>Release bundles pin every component that changes behaviour,</w:t>
      </w:r>
      <w:r w:rsidRPr="00A11513">
        <w:t xml:space="preserve"> and OCR version drift is treated as a regression trigger.</w:t>
      </w:r>
    </w:p>
    <w:p w14:paraId="6A8CB65B" w14:textId="77777777" w:rsidR="00A11513" w:rsidRPr="00A11513" w:rsidRDefault="00A11513" w:rsidP="00A11513">
      <w:pPr>
        <w:rPr>
          <w:b/>
          <w:bCs/>
        </w:rPr>
      </w:pPr>
      <w:r w:rsidRPr="00A11513">
        <w:rPr>
          <w:b/>
          <w:bCs/>
        </w:rPr>
        <w:t>Critical: conflicts with decisions already made</w:t>
      </w:r>
    </w:p>
    <w:p w14:paraId="333CBBCB" w14:textId="77777777" w:rsidR="00A11513" w:rsidRPr="00A11513" w:rsidRDefault="00A11513" w:rsidP="00A11513">
      <w:pPr>
        <w:numPr>
          <w:ilvl w:val="0"/>
          <w:numId w:val="3"/>
        </w:numPr>
      </w:pPr>
      <w:r w:rsidRPr="00A11513">
        <w:rPr>
          <w:b/>
          <w:bCs/>
        </w:rPr>
        <w:lastRenderedPageBreak/>
        <w:t>Page selection violates the full-document rule.</w:t>
      </w:r>
      <w:r w:rsidRPr="00A11513">
        <w:t xml:space="preserve"> The settled rule is that when L1 does not accept a document, the model gets every page, chunk by chunk, never selected pages. Arch §7b and IMPL-11 §4 instead score pages by section signals and send only the first 5 pages, the declarations page and pages that score as a schema section. That is selective reading.</w:t>
      </w:r>
    </w:p>
    <w:p w14:paraId="3BFD2274" w14:textId="77777777" w:rsidR="00A11513" w:rsidRPr="00A11513" w:rsidRDefault="00A11513" w:rsidP="00A11513">
      <w:pPr>
        <w:numPr>
          <w:ilvl w:val="0"/>
          <w:numId w:val="3"/>
        </w:numPr>
      </w:pPr>
      <w:r w:rsidRPr="00A11513">
        <w:rPr>
          <w:b/>
          <w:bCs/>
        </w:rPr>
        <w:t>The 30 s SLA for a 70-page scanned policy appears nowhere.</w:t>
      </w:r>
      <w:r w:rsidRPr="00A11513">
        <w:t xml:space="preserve"> Latency is “recorded, not gated” (§0d). The OCR budget for a scan alone is 90 s (§8a, IMPL-03), which already exceeds the SLA. Rough estimate (an assumption, not measured): 70 pages × about 2,400 image tokens at the current pixel budget is about 170K input tokens before OCR text and repeated pages. The SLA needs a latency budget per stage and a gate.</w:t>
      </w:r>
    </w:p>
    <w:p w14:paraId="791F8F75" w14:textId="77777777" w:rsidR="00A11513" w:rsidRPr="00A11513" w:rsidRDefault="00A11513" w:rsidP="00A11513">
      <w:pPr>
        <w:numPr>
          <w:ilvl w:val="0"/>
          <w:numId w:val="3"/>
        </w:numPr>
      </w:pPr>
      <w:r w:rsidRPr="00A11513">
        <w:rPr>
          <w:b/>
          <w:bCs/>
        </w:rPr>
        <w:t>The “every word of the policy in the output JSON” requirement conflicts with the label rules.</w:t>
      </w:r>
      <w:r w:rsidRPr="00A11513">
        <w:t xml:space="preserve"> Policy wording filed as extra fields is dropped (§7c), so the output cannot contain every word. One of the two needs confirming.</w:t>
      </w:r>
    </w:p>
    <w:p w14:paraId="4ACF7B1B" w14:textId="77777777" w:rsidR="00A11513" w:rsidRPr="00A11513" w:rsidRDefault="00A11513" w:rsidP="00A11513">
      <w:pPr>
        <w:numPr>
          <w:ilvl w:val="0"/>
          <w:numId w:val="3"/>
        </w:numPr>
      </w:pPr>
      <w:r w:rsidRPr="00A11513">
        <w:rPr>
          <w:b/>
          <w:bCs/>
        </w:rPr>
        <w:t>The CPU deployment rationale has been dropped.</w:t>
      </w:r>
      <w:r w:rsidRPr="00A11513">
        <w:t xml:space="preserve"> Running quantized adapters on a local CPU (GGUF format) was one of the original reasons for choosing the 8B model. The architecture demotes GGUF to an optional “edge export”, serves only on GPU through vLLM, and forbids CPU OCR. Either restore the CPU path as a target or record that the rationale was abandoned.</w:t>
      </w:r>
    </w:p>
    <w:p w14:paraId="14B2A18A" w14:textId="77777777" w:rsidR="00A11513" w:rsidRPr="00A11513" w:rsidRDefault="00A11513" w:rsidP="00A11513">
      <w:pPr>
        <w:numPr>
          <w:ilvl w:val="0"/>
          <w:numId w:val="3"/>
        </w:numPr>
      </w:pPr>
      <w:r w:rsidRPr="00A11513">
        <w:rPr>
          <w:b/>
          <w:bCs/>
        </w:rPr>
        <w:t>The carrier hold-out rule does not match the decision.</w:t>
      </w:r>
      <w:r w:rsidRPr="00A11513">
        <w:t xml:space="preserve"> The decision is per line of business: a line with fewer than 10 carriers holds no carrier out. The document instead uses “2 carriers per doc type once ≥ 6 exist” (§8.2), and turns hold-out off entirely for delivered splits.</w:t>
      </w:r>
    </w:p>
    <w:p w14:paraId="23EBDFBC" w14:textId="77777777" w:rsidR="00A11513" w:rsidRPr="00A11513" w:rsidRDefault="00A11513" w:rsidP="00A11513">
      <w:pPr>
        <w:numPr>
          <w:ilvl w:val="0"/>
          <w:numId w:val="3"/>
        </w:numPr>
      </w:pPr>
      <w:r w:rsidRPr="00A11513">
        <w:rPr>
          <w:b/>
          <w:bCs/>
        </w:rPr>
        <w:t>Frontier models are still allowed for draft labels.</w:t>
      </w:r>
      <w:r w:rsidRPr="00A11513">
        <w:t xml:space="preserve"> §7c and IMPL-04 permit an external frontier model under a zero-retention agreement. The compliance position is that frontier models are never used for gold, synthetic or training data, so this should be removed.</w:t>
      </w:r>
    </w:p>
    <w:p w14:paraId="2AF2F668" w14:textId="77777777" w:rsidR="00A11513" w:rsidRPr="00A11513" w:rsidRDefault="00A11513" w:rsidP="00A11513">
      <w:pPr>
        <w:numPr>
          <w:ilvl w:val="0"/>
          <w:numId w:val="3"/>
        </w:numPr>
      </w:pPr>
      <w:r w:rsidRPr="00A11513">
        <w:rPr>
          <w:b/>
          <w:bCs/>
        </w:rPr>
        <w:t>Only two of the four adapter groups exist.</w:t>
      </w:r>
      <w:r w:rsidRPr="00A11513">
        <w:t xml:space="preserve"> Only personal_lines and casualty_fleet are defined. Property and benefits have no scope or plan.</w:t>
      </w:r>
    </w:p>
    <w:p w14:paraId="45E3B5B8" w14:textId="77777777" w:rsidR="00A11513" w:rsidRPr="00A11513" w:rsidRDefault="00A11513" w:rsidP="00A11513">
      <w:pPr>
        <w:numPr>
          <w:ilvl w:val="0"/>
          <w:numId w:val="3"/>
        </w:numPr>
      </w:pPr>
      <w:r w:rsidRPr="00A11513">
        <w:rPr>
          <w:b/>
          <w:bCs/>
        </w:rPr>
        <w:t>The production accuracy tier is still 0.92.</w:t>
      </w:r>
      <w:r w:rsidRPr="00A11513">
        <w:t xml:space="preserve"> It appears in §0d, §12.3, IMPL-02 and IMPL-08; the agreed target is 0.90.</w:t>
      </w:r>
    </w:p>
    <w:p w14:paraId="4BBF27B0" w14:textId="77777777" w:rsidR="00A11513" w:rsidRPr="00A11513" w:rsidRDefault="00A11513" w:rsidP="00A11513">
      <w:pPr>
        <w:rPr>
          <w:b/>
          <w:bCs/>
        </w:rPr>
      </w:pPr>
      <w:r w:rsidRPr="00A11513">
        <w:rPr>
          <w:b/>
          <w:bCs/>
        </w:rPr>
        <w:t>Evidence and measurement gaps</w:t>
      </w:r>
    </w:p>
    <w:p w14:paraId="7F626E97" w14:textId="77777777" w:rsidR="00A11513" w:rsidRPr="00A11513" w:rsidRDefault="00A11513" w:rsidP="00A11513">
      <w:pPr>
        <w:numPr>
          <w:ilvl w:val="0"/>
          <w:numId w:val="4"/>
        </w:numPr>
      </w:pPr>
      <w:r w:rsidRPr="00A11513">
        <w:rPr>
          <w:b/>
          <w:bCs/>
        </w:rPr>
        <w:t>The CGL adapter is far below target.</w:t>
      </w:r>
      <w:r w:rsidRPr="00A11513">
        <w:t xml:space="preserve"> It was trained on 72 documents and selected on 22 validation documents: </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399"/>
        <w:gridCol w:w="2532"/>
      </w:tblGrid>
      <w:tr w:rsidR="00A11513" w:rsidRPr="00A11513" w14:paraId="45E995FF" w14:textId="77777777">
        <w:trPr>
          <w:tblHeader/>
          <w:tblCellSpacing w:w="15" w:type="dxa"/>
        </w:trPr>
        <w:tc>
          <w:tcPr>
            <w:tcW w:w="0" w:type="auto"/>
            <w:vAlign w:val="center"/>
            <w:hideMark/>
          </w:tcPr>
          <w:p w14:paraId="7E398705" w14:textId="77777777" w:rsidR="00A11513" w:rsidRPr="00A11513" w:rsidRDefault="00A11513" w:rsidP="00A11513">
            <w:pPr>
              <w:rPr>
                <w:b/>
                <w:bCs/>
              </w:rPr>
            </w:pPr>
            <w:r w:rsidRPr="00A11513">
              <w:rPr>
                <w:b/>
                <w:bCs/>
              </w:rPr>
              <w:lastRenderedPageBreak/>
              <w:t>Measure</w:t>
            </w:r>
          </w:p>
        </w:tc>
        <w:tc>
          <w:tcPr>
            <w:tcW w:w="0" w:type="auto"/>
            <w:vAlign w:val="center"/>
            <w:hideMark/>
          </w:tcPr>
          <w:p w14:paraId="7FFDC7DE" w14:textId="77777777" w:rsidR="00A11513" w:rsidRPr="00A11513" w:rsidRDefault="00A11513" w:rsidP="00A11513">
            <w:pPr>
              <w:rPr>
                <w:b/>
                <w:bCs/>
              </w:rPr>
            </w:pPr>
            <w:r w:rsidRPr="00A11513">
              <w:rPr>
                <w:b/>
                <w:bCs/>
              </w:rPr>
              <w:t>Result</w:t>
            </w:r>
          </w:p>
        </w:tc>
      </w:tr>
      <w:tr w:rsidR="00A11513" w:rsidRPr="00A11513" w14:paraId="7185755F" w14:textId="77777777">
        <w:trPr>
          <w:tblCellSpacing w:w="15" w:type="dxa"/>
        </w:trPr>
        <w:tc>
          <w:tcPr>
            <w:tcW w:w="0" w:type="auto"/>
            <w:vAlign w:val="center"/>
            <w:hideMark/>
          </w:tcPr>
          <w:p w14:paraId="2D2C2557" w14:textId="77777777" w:rsidR="00A11513" w:rsidRPr="00A11513" w:rsidRDefault="00A11513" w:rsidP="00A11513">
            <w:r w:rsidRPr="00A11513">
              <w:t>Field match on validation</w:t>
            </w:r>
          </w:p>
        </w:tc>
        <w:tc>
          <w:tcPr>
            <w:tcW w:w="0" w:type="auto"/>
            <w:vAlign w:val="center"/>
            <w:hideMark/>
          </w:tcPr>
          <w:p w14:paraId="11A13BF2" w14:textId="77777777" w:rsidR="00A11513" w:rsidRPr="00A11513" w:rsidRDefault="00A11513" w:rsidP="00A11513">
            <w:r w:rsidRPr="00A11513">
              <w:t>66.5% (pilot target 85%)</w:t>
            </w:r>
          </w:p>
        </w:tc>
      </w:tr>
      <w:tr w:rsidR="00A11513" w:rsidRPr="00A11513" w14:paraId="6DD6C3D8" w14:textId="77777777">
        <w:trPr>
          <w:tblCellSpacing w:w="15" w:type="dxa"/>
        </w:trPr>
        <w:tc>
          <w:tcPr>
            <w:tcW w:w="0" w:type="auto"/>
            <w:vAlign w:val="center"/>
            <w:hideMark/>
          </w:tcPr>
          <w:p w14:paraId="27F4C223" w14:textId="77777777" w:rsidR="00A11513" w:rsidRPr="00A11513" w:rsidRDefault="00A11513" w:rsidP="00A11513">
            <w:r w:rsidRPr="00A11513">
              <w:t>Field F1 on test, adapter</w:t>
            </w:r>
          </w:p>
        </w:tc>
        <w:tc>
          <w:tcPr>
            <w:tcW w:w="0" w:type="auto"/>
            <w:vAlign w:val="center"/>
            <w:hideMark/>
          </w:tcPr>
          <w:p w14:paraId="73C87FAB" w14:textId="77777777" w:rsidR="00A11513" w:rsidRPr="00A11513" w:rsidRDefault="00A11513" w:rsidP="00A11513">
            <w:r w:rsidRPr="00A11513">
              <w:t>55.0%</w:t>
            </w:r>
          </w:p>
        </w:tc>
      </w:tr>
      <w:tr w:rsidR="00A11513" w:rsidRPr="00A11513" w14:paraId="1906C94C" w14:textId="77777777">
        <w:trPr>
          <w:tblCellSpacing w:w="15" w:type="dxa"/>
        </w:trPr>
        <w:tc>
          <w:tcPr>
            <w:tcW w:w="0" w:type="auto"/>
            <w:vAlign w:val="center"/>
            <w:hideMark/>
          </w:tcPr>
          <w:p w14:paraId="63243811" w14:textId="77777777" w:rsidR="00A11513" w:rsidRPr="00A11513" w:rsidRDefault="00A11513" w:rsidP="00A11513">
            <w:r w:rsidRPr="00A11513">
              <w:t>Field F1 on test, base model</w:t>
            </w:r>
          </w:p>
        </w:tc>
        <w:tc>
          <w:tcPr>
            <w:tcW w:w="0" w:type="auto"/>
            <w:vAlign w:val="center"/>
            <w:hideMark/>
          </w:tcPr>
          <w:p w14:paraId="7F87D517" w14:textId="77777777" w:rsidR="00A11513" w:rsidRPr="00A11513" w:rsidRDefault="00A11513" w:rsidP="00A11513">
            <w:r w:rsidRPr="00A11513">
              <w:t>25.4%</w:t>
            </w:r>
          </w:p>
        </w:tc>
      </w:tr>
      <w:tr w:rsidR="00A11513" w:rsidRPr="00A11513" w14:paraId="5429FD65" w14:textId="77777777">
        <w:trPr>
          <w:tblCellSpacing w:w="15" w:type="dxa"/>
        </w:trPr>
        <w:tc>
          <w:tcPr>
            <w:tcW w:w="0" w:type="auto"/>
            <w:vAlign w:val="center"/>
            <w:hideMark/>
          </w:tcPr>
          <w:p w14:paraId="3465187D" w14:textId="77777777" w:rsidR="00A11513" w:rsidRPr="00A11513" w:rsidRDefault="00A11513" w:rsidP="00A11513">
            <w:r w:rsidRPr="00A11513">
              <w:t>Field F1, carriers seen in training</w:t>
            </w:r>
          </w:p>
        </w:tc>
        <w:tc>
          <w:tcPr>
            <w:tcW w:w="0" w:type="auto"/>
            <w:vAlign w:val="center"/>
            <w:hideMark/>
          </w:tcPr>
          <w:p w14:paraId="25694FE0" w14:textId="77777777" w:rsidR="00A11513" w:rsidRPr="00A11513" w:rsidRDefault="00A11513" w:rsidP="00A11513">
            <w:r w:rsidRPr="00A11513">
              <w:t>63.6%</w:t>
            </w:r>
          </w:p>
        </w:tc>
      </w:tr>
      <w:tr w:rsidR="00A11513" w:rsidRPr="00A11513" w14:paraId="395E91DD" w14:textId="77777777">
        <w:trPr>
          <w:tblCellSpacing w:w="15" w:type="dxa"/>
        </w:trPr>
        <w:tc>
          <w:tcPr>
            <w:tcW w:w="0" w:type="auto"/>
            <w:vAlign w:val="center"/>
            <w:hideMark/>
          </w:tcPr>
          <w:p w14:paraId="69EAEE4B" w14:textId="77777777" w:rsidR="00A11513" w:rsidRPr="00A11513" w:rsidRDefault="00A11513" w:rsidP="00A11513">
            <w:r w:rsidRPr="00A11513">
              <w:t>Field F1, carriers never seen</w:t>
            </w:r>
          </w:p>
        </w:tc>
        <w:tc>
          <w:tcPr>
            <w:tcW w:w="0" w:type="auto"/>
            <w:vAlign w:val="center"/>
            <w:hideMark/>
          </w:tcPr>
          <w:p w14:paraId="74C4B4F2" w14:textId="77777777" w:rsidR="00A11513" w:rsidRPr="00A11513" w:rsidRDefault="00A11513" w:rsidP="00A11513">
            <w:r w:rsidRPr="00A11513">
              <w:t>40.9%</w:t>
            </w:r>
          </w:p>
        </w:tc>
      </w:tr>
    </w:tbl>
    <w:p w14:paraId="7C0E9F20" w14:textId="77777777" w:rsidR="00A11513" w:rsidRPr="00A11513" w:rsidRDefault="00A11513" w:rsidP="00A11513">
      <w:pPr>
        <w:numPr>
          <w:ilvl w:val="0"/>
          <w:numId w:val="4"/>
        </w:numPr>
      </w:pPr>
      <w:r w:rsidRPr="00A11513">
        <w:t>The gap between seen and unseen carriers suggests the model is learning templates rather than generalising.</w:t>
      </w:r>
    </w:p>
    <w:p w14:paraId="57FB98A4" w14:textId="77777777" w:rsidR="00A11513" w:rsidRPr="00A11513" w:rsidRDefault="00A11513" w:rsidP="00A11513">
      <w:pPr>
        <w:numPr>
          <w:ilvl w:val="0"/>
          <w:numId w:val="4"/>
        </w:numPr>
      </w:pPr>
      <w:r w:rsidRPr="00A11513">
        <w:rPr>
          <w:b/>
          <w:bCs/>
        </w:rPr>
        <w:t>Label inconsistency is a known accuracy limit.</w:t>
      </w:r>
      <w:r w:rsidRPr="00A11513">
        <w:t xml:space="preserve"> On form editions, 1,012 forms put the edition in edition_date and 900 keep it inside form_number, and the model learned both. A rule in the pre-upload audit that blocks this kind of conflict is needed before the next run.</w:t>
      </w:r>
    </w:p>
    <w:p w14:paraId="6A1BBBE5" w14:textId="77777777" w:rsidR="00A11513" w:rsidRPr="00A11513" w:rsidRDefault="00A11513" w:rsidP="00A11513">
      <w:pPr>
        <w:numPr>
          <w:ilvl w:val="0"/>
          <w:numId w:val="4"/>
        </w:numPr>
      </w:pPr>
      <w:r w:rsidRPr="00A11513">
        <w:rPr>
          <w:b/>
          <w:bCs/>
        </w:rPr>
        <w:t>The eval sets are too small to support the gate.</w:t>
      </w:r>
      <w:r w:rsidRPr="00A11513">
        <w:t xml:space="preserve"> The CGL test set has 9 documents (frozen with --allow-small) against a design minimum of 150. At that size, the bootstrap interval is far wider than any δ, so the gate cannot tell a better model from a worse one.</w:t>
      </w:r>
    </w:p>
    <w:p w14:paraId="450424BF" w14:textId="77777777" w:rsidR="00A11513" w:rsidRPr="00A11513" w:rsidRDefault="00A11513" w:rsidP="00A11513">
      <w:pPr>
        <w:numPr>
          <w:ilvl w:val="0"/>
          <w:numId w:val="4"/>
        </w:numPr>
      </w:pPr>
      <w:r w:rsidRPr="00A11513">
        <w:rPr>
          <w:b/>
          <w:bCs/>
        </w:rPr>
        <w:t>The statistical gate is not implemented.</w:t>
      </w:r>
      <w:r w:rsidRPr="00A11513">
        <w:t xml:space="preserve"> Per-document scores are not passed to the gate, so non-inferiority is a point comparison and the “improvement” rule is not enforced (§15.5).</w:t>
      </w:r>
    </w:p>
    <w:p w14:paraId="4B028416" w14:textId="77777777" w:rsidR="00A11513" w:rsidRPr="00A11513" w:rsidRDefault="00A11513" w:rsidP="00A11513">
      <w:pPr>
        <w:numPr>
          <w:ilvl w:val="0"/>
          <w:numId w:val="4"/>
        </w:numPr>
      </w:pPr>
      <w:r w:rsidRPr="00A11513">
        <w:rPr>
          <w:b/>
          <w:bCs/>
        </w:rPr>
        <w:t>The same 22 validation documents do three jobs.</w:t>
      </w:r>
      <w:r w:rsidRPr="00A11513">
        <w:t xml:space="preserve"> They select checkpoints, fit calibrators and set thresholds. Calibration also needs at least 300 instances per field type, so in practice 100% of fields go to review until data volume grows.</w:t>
      </w:r>
    </w:p>
    <w:p w14:paraId="3A920B85" w14:textId="77777777" w:rsidR="00A11513" w:rsidRPr="00A11513" w:rsidRDefault="00A11513" w:rsidP="00A11513">
      <w:pPr>
        <w:numPr>
          <w:ilvl w:val="0"/>
          <w:numId w:val="4"/>
        </w:numPr>
      </w:pPr>
      <w:r w:rsidRPr="00A11513">
        <w:rPr>
          <w:b/>
          <w:bCs/>
        </w:rPr>
        <w:t>The Phase 0 checks never finished, yet training went ahead.</w:t>
      </w:r>
      <w:r w:rsidRPr="00A11513">
        <w:t xml:space="preserve"> The token-parity and serving-output parity tests are still GPU placeholders. Those are exactly the train/serve skew checks the specs call “the single most common cause of post-fine-tuning degradation”.</w:t>
      </w:r>
    </w:p>
    <w:p w14:paraId="0FD0CAC1" w14:textId="77777777" w:rsidR="00A11513" w:rsidRPr="00A11513" w:rsidRDefault="00A11513" w:rsidP="00A11513">
      <w:pPr>
        <w:rPr>
          <w:b/>
          <w:bCs/>
        </w:rPr>
      </w:pPr>
      <w:r w:rsidRPr="00A11513">
        <w:rPr>
          <w:b/>
          <w:bCs/>
        </w:rPr>
        <w:t>Design issues and suggested improvements</w:t>
      </w:r>
    </w:p>
    <w:p w14:paraId="57FF14FF" w14:textId="77777777" w:rsidR="00A11513" w:rsidRPr="00A11513" w:rsidRDefault="00A11513" w:rsidP="00A11513">
      <w:pPr>
        <w:numPr>
          <w:ilvl w:val="0"/>
          <w:numId w:val="5"/>
        </w:numPr>
      </w:pPr>
      <w:r w:rsidRPr="00A11513">
        <w:rPr>
          <w:b/>
          <w:bCs/>
        </w:rPr>
        <w:t>Image-only training may be wasted.</w:t>
      </w:r>
      <w:r w:rsidRPr="00A11513">
        <w:t xml:space="preserve"> 30% of training samples are image-only, but serving always receives OCR page texts, and an OCR failure goes to human review, not to an image-only read (§8a, §14.4). If image-only is not a real production path, cut its share and spend the budget on OCR-plus-image and noisy-OCR samples.</w:t>
      </w:r>
    </w:p>
    <w:p w14:paraId="6FD54E08" w14:textId="77777777" w:rsidR="00A11513" w:rsidRPr="00A11513" w:rsidRDefault="00A11513" w:rsidP="00A11513">
      <w:pPr>
        <w:numPr>
          <w:ilvl w:val="0"/>
          <w:numId w:val="5"/>
        </w:numPr>
      </w:pPr>
      <w:r w:rsidRPr="00A11513">
        <w:rPr>
          <w:b/>
          <w:bCs/>
        </w:rPr>
        <w:lastRenderedPageBreak/>
        <w:t>Rank 64 is high for 72 training documents.</w:t>
      </w:r>
      <w:r w:rsidRPr="00A11513">
        <w:t xml:space="preserve"> Run a rank 16/32 comparison before scaling up. The sweep is deferred until the pilot passes, but rank affects whether the pilot passes.</w:t>
      </w:r>
    </w:p>
    <w:p w14:paraId="651F691D" w14:textId="77777777" w:rsidR="00A11513" w:rsidRPr="00A11513" w:rsidRDefault="00A11513" w:rsidP="00A11513">
      <w:pPr>
        <w:numPr>
          <w:ilvl w:val="0"/>
          <w:numId w:val="5"/>
        </w:numPr>
      </w:pPr>
      <w:r w:rsidRPr="00A11513">
        <w:rPr>
          <w:b/>
          <w:bCs/>
        </w:rPr>
        <w:t>The 20% line-of-business coverage floor cannot be met.</w:t>
      </w:r>
      <w:r w:rsidRPr="00A11513">
        <w:t xml:space="preserve"> With 12 values, every value at ≥20% of documents requires an average of 2.4 lines per document. Loss Runs are mostly single-line, so the warning will always fire. A minimum document count per value would work better.</w:t>
      </w:r>
    </w:p>
    <w:p w14:paraId="01106012" w14:textId="77777777" w:rsidR="00A11513" w:rsidRPr="00A11513" w:rsidRDefault="00A11513" w:rsidP="00A11513">
      <w:pPr>
        <w:numPr>
          <w:ilvl w:val="0"/>
          <w:numId w:val="5"/>
        </w:numPr>
      </w:pPr>
      <w:r w:rsidRPr="00A11513">
        <w:rPr>
          <w:b/>
          <w:bCs/>
        </w:rPr>
        <w:t>Run time is dominated by overhead.</w:t>
      </w:r>
      <w:r w:rsidRPr="00A11513">
        <w:t xml:space="preserve"> The full run took about 21 h, of which about 7 h was checkpoint selection. Selection could score fewer candidates, or score only the declarations and schedule windows first.</w:t>
      </w:r>
    </w:p>
    <w:p w14:paraId="6C42408B" w14:textId="77777777" w:rsidR="00A11513" w:rsidRPr="00A11513" w:rsidRDefault="00A11513" w:rsidP="00A11513">
      <w:pPr>
        <w:numPr>
          <w:ilvl w:val="0"/>
          <w:numId w:val="5"/>
        </w:numPr>
      </w:pPr>
      <w:r w:rsidRPr="00A11513">
        <w:rPr>
          <w:b/>
          <w:bCs/>
        </w:rPr>
        <w:t>Loss Run completeness checking does nothing today.</w:t>
      </w:r>
      <w:r w:rsidRPr="00A11513">
        <w:t xml:space="preserve"> The Loss Run schema has no printed-totals fields, so reconciliation always returns “unverifiable”. Either add totals to the schema or stop listing reconciliation as a feature.</w:t>
      </w:r>
    </w:p>
    <w:p w14:paraId="44B30291" w14:textId="77777777" w:rsidR="00A11513" w:rsidRPr="00A11513" w:rsidRDefault="00A11513" w:rsidP="00A11513">
      <w:pPr>
        <w:numPr>
          <w:ilvl w:val="0"/>
          <w:numId w:val="5"/>
        </w:numPr>
      </w:pPr>
      <w:r w:rsidRPr="00A11513">
        <w:rPr>
          <w:b/>
          <w:bCs/>
        </w:rPr>
        <w:t>Security:</w:t>
      </w:r>
      <w:r w:rsidRPr="00A11513">
        <w:t xml:space="preserve"> pods read a storage account key from .env. The short-lived, path-scoped SAS tokens are still unbuilt, and that is the main exposure for PII data. Model weights are not tenant-prefixed, so a tenant purge cannot reach the trained models.</w:t>
      </w:r>
    </w:p>
    <w:p w14:paraId="2276539D" w14:textId="77777777" w:rsidR="00A11513" w:rsidRPr="00A11513" w:rsidRDefault="00A11513" w:rsidP="00A11513">
      <w:pPr>
        <w:rPr>
          <w:b/>
          <w:bCs/>
        </w:rPr>
      </w:pPr>
      <w:r w:rsidRPr="00A11513">
        <w:rPr>
          <w:b/>
          <w:bCs/>
        </w:rPr>
        <w:t>Inconsistencies between the architecture and the specs</w:t>
      </w:r>
    </w:p>
    <w:p w14:paraId="307266D5" w14:textId="77777777" w:rsidR="00A11513" w:rsidRPr="00A11513" w:rsidRDefault="00A11513" w:rsidP="00A11513">
      <w:pPr>
        <w:numPr>
          <w:ilvl w:val="0"/>
          <w:numId w:val="6"/>
        </w:numPr>
      </w:pPr>
      <w:r w:rsidRPr="00A11513">
        <w:rPr>
          <w:b/>
          <w:bCs/>
        </w:rPr>
        <w:t>Pilot targets disagree within the architecture.</w:t>
      </w:r>
      <w:r w:rsidRPr="00A11513">
        <w:t xml:space="preserve"> §0d says it is the single source of targets: field match 0.85 and schema validity 98%. §16.3 and IMPL-15 use field F1 &gt; 0.80 and schema validity 100%.</w:t>
      </w:r>
    </w:p>
    <w:p w14:paraId="2FDFC715" w14:textId="77777777" w:rsidR="00A11513" w:rsidRPr="00A11513" w:rsidRDefault="00A11513" w:rsidP="00A11513">
      <w:pPr>
        <w:numPr>
          <w:ilvl w:val="0"/>
          <w:numId w:val="6"/>
        </w:numPr>
      </w:pPr>
      <w:r w:rsidRPr="00A11513">
        <w:rPr>
          <w:b/>
          <w:bCs/>
        </w:rPr>
        <w:t>De-identification is described two ways.</w:t>
      </w:r>
      <w:r w:rsidRPr="00A11513">
        <w:t xml:space="preserve"> IMPL-00 §2/§8 and IMPL-05 §1 still say it is “BLOCKED”, because arch §8b supposedly requires de-identifying the text. v2.3 §8b actually rejects text-only de-identification and records Option A (no de-identification) as the current state.</w:t>
      </w:r>
    </w:p>
    <w:p w14:paraId="36E531F8" w14:textId="77777777" w:rsidR="00A11513" w:rsidRPr="00A11513" w:rsidRDefault="00A11513" w:rsidP="00A11513">
      <w:pPr>
        <w:numPr>
          <w:ilvl w:val="0"/>
          <w:numId w:val="6"/>
        </w:numPr>
      </w:pPr>
      <w:r w:rsidRPr="00A11513">
        <w:rPr>
          <w:b/>
          <w:bCs/>
        </w:rPr>
        <w:t>The fallback trainer differs.</w:t>
      </w:r>
      <w:r w:rsidRPr="00A11513">
        <w:t xml:space="preserve"> IMPL-00 §2 says “drop to ms-swift Seq2SeqTrainer”; arch §10.1 and IMPL-06 say migrate to TRL SFTTrainer.</w:t>
      </w:r>
    </w:p>
    <w:p w14:paraId="11BAB98F" w14:textId="77777777" w:rsidR="00A11513" w:rsidRPr="00A11513" w:rsidRDefault="00A11513" w:rsidP="00A11513">
      <w:pPr>
        <w:numPr>
          <w:ilvl w:val="0"/>
          <w:numId w:val="6"/>
        </w:numPr>
      </w:pPr>
      <w:r w:rsidRPr="00A11513">
        <w:rPr>
          <w:b/>
          <w:bCs/>
        </w:rPr>
        <w:t>The image size setting is out of date in two specs.</w:t>
      </w:r>
      <w:r w:rsidRPr="00A11513">
        <w:t xml:space="preserve"> IMPL-03 (line 36) and IMPL-07 (line 44) still refer to max_image_long_side_px in base_model.yaml. The architecture uses max_pixels in configs/shared/vision.yaml.</w:t>
      </w:r>
    </w:p>
    <w:p w14:paraId="436D5AD9" w14:textId="77777777" w:rsidR="00A11513" w:rsidRPr="00A11513" w:rsidRDefault="00A11513" w:rsidP="00A11513">
      <w:pPr>
        <w:numPr>
          <w:ilvl w:val="0"/>
          <w:numId w:val="6"/>
        </w:numPr>
      </w:pPr>
      <w:r w:rsidRPr="00A11513">
        <w:rPr>
          <w:b/>
          <w:bCs/>
        </w:rPr>
        <w:t>Raw storage tier differs.</w:t>
      </w:r>
      <w:r w:rsidRPr="00A11513">
        <w:t xml:space="preserve"> IMPL-00 §8 says “Cool/Archive tier once processed”; arch §18.2 says “Cool, never Archive”.</w:t>
      </w:r>
    </w:p>
    <w:p w14:paraId="5542FDA3" w14:textId="77777777" w:rsidR="00A11513" w:rsidRPr="00A11513" w:rsidRDefault="00A11513" w:rsidP="00A11513">
      <w:pPr>
        <w:numPr>
          <w:ilvl w:val="0"/>
          <w:numId w:val="6"/>
        </w:numPr>
      </w:pPr>
      <w:r w:rsidRPr="00A11513">
        <w:rPr>
          <w:b/>
          <w:bCs/>
        </w:rPr>
        <w:t>The gate rule in tests is stale.</w:t>
      </w:r>
      <w:r w:rsidRPr="00A11513">
        <w:t xml:space="preserve"> IMPL-14 (line 52) says “a regression on any single metric blocks promotion”; the gate now uses δ-based non-inferiority.</w:t>
      </w:r>
    </w:p>
    <w:p w14:paraId="06094902" w14:textId="77777777" w:rsidR="00A11513" w:rsidRPr="00A11513" w:rsidRDefault="00A11513" w:rsidP="00A11513">
      <w:pPr>
        <w:numPr>
          <w:ilvl w:val="0"/>
          <w:numId w:val="6"/>
        </w:numPr>
      </w:pPr>
      <w:r w:rsidRPr="00A11513">
        <w:rPr>
          <w:b/>
          <w:bCs/>
        </w:rPr>
        <w:lastRenderedPageBreak/>
        <w:t>Compliance items no longer make sense as written.</w:t>
      </w:r>
      <w:r w:rsidRPr="00A11513">
        <w:t xml:space="preserve"> §8b lists items as “must be closed before the first corpus build”, but corpora have already been built and trained on. Several items are also assigned to a “Legal” owner, which needs a named internal owner instead.</w:t>
      </w:r>
    </w:p>
    <w:p w14:paraId="2D428FB2" w14:textId="77777777" w:rsidR="00A11513" w:rsidRPr="00A11513" w:rsidRDefault="00A11513" w:rsidP="00A11513">
      <w:pPr>
        <w:numPr>
          <w:ilvl w:val="0"/>
          <w:numId w:val="6"/>
        </w:numPr>
      </w:pPr>
      <w:r w:rsidRPr="00A11513">
        <w:rPr>
          <w:b/>
          <w:bCs/>
        </w:rPr>
        <w:t>§16.5 is out of date.</w:t>
      </w:r>
      <w:r w:rsidRPr="00A11513">
        <w:t xml:space="preserve"> The 16 October MVP date has passed.</w:t>
      </w:r>
    </w:p>
    <w:p w14:paraId="6D8F5B74" w14:textId="77777777" w:rsidR="00A11513" w:rsidRPr="00A11513" w:rsidRDefault="00A11513" w:rsidP="00A11513">
      <w:pPr>
        <w:numPr>
          <w:ilvl w:val="0"/>
          <w:numId w:val="6"/>
        </w:numPr>
      </w:pPr>
      <w:r w:rsidRPr="00A11513">
        <w:rPr>
          <w:b/>
          <w:bCs/>
        </w:rPr>
        <w:t>Numbering:</w:t>
      </w:r>
      <w:r w:rsidRPr="00A11513">
        <w:t xml:space="preserve"> IMPL-00 has no §10/§11 order (it goes §9 → §10 → §12 → §12a → §11 → §13).</w:t>
      </w:r>
    </w:p>
    <w:p w14:paraId="2FB46F65" w14:textId="77777777" w:rsidR="00A11513" w:rsidRPr="00A11513" w:rsidRDefault="00A11513" w:rsidP="00A11513">
      <w:pPr>
        <w:rPr>
          <w:b/>
          <w:bCs/>
        </w:rPr>
      </w:pPr>
      <w:r w:rsidRPr="00A11513">
        <w:rPr>
          <w:b/>
          <w:bCs/>
        </w:rPr>
        <w:t>What is missing</w:t>
      </w:r>
    </w:p>
    <w:p w14:paraId="38225214" w14:textId="77777777" w:rsidR="00A11513" w:rsidRPr="00A11513" w:rsidRDefault="00A11513" w:rsidP="00A11513">
      <w:pPr>
        <w:numPr>
          <w:ilvl w:val="0"/>
          <w:numId w:val="7"/>
        </w:numPr>
      </w:pPr>
      <w:r w:rsidRPr="00A11513">
        <w:t>A latency budget per stage, mapped to the 30 s SLA.</w:t>
      </w:r>
    </w:p>
    <w:p w14:paraId="17B3A1AF" w14:textId="77777777" w:rsidR="00A11513" w:rsidRPr="00A11513" w:rsidRDefault="00A11513" w:rsidP="00A11513">
      <w:pPr>
        <w:numPr>
          <w:ilvl w:val="0"/>
          <w:numId w:val="7"/>
        </w:numPr>
      </w:pPr>
      <w:r w:rsidRPr="00A11513">
        <w:t>A cost model: GPU cost per document and per training run.</w:t>
      </w:r>
    </w:p>
    <w:p w14:paraId="614E76F0" w14:textId="77777777" w:rsidR="00A11513" w:rsidRPr="00A11513" w:rsidRDefault="00A11513" w:rsidP="00A11513">
      <w:pPr>
        <w:numPr>
          <w:ilvl w:val="0"/>
          <w:numId w:val="7"/>
        </w:numPr>
      </w:pPr>
      <w:r w:rsidRPr="00A11513">
        <w:t>Scopes for property and benefits, and the 47-line coverage map. The document registers 31 lines.</w:t>
      </w:r>
    </w:p>
    <w:p w14:paraId="1A35B027" w14:textId="77777777" w:rsidR="00A11513" w:rsidRPr="00A11513" w:rsidRDefault="00A11513" w:rsidP="00A11513">
      <w:pPr>
        <w:numPr>
          <w:ilvl w:val="0"/>
          <w:numId w:val="7"/>
        </w:numPr>
      </w:pPr>
      <w:r w:rsidRPr="00A11513">
        <w:t>An exit decision between the SLM route and a frontier-first route, with criteria, given that this is already under consideration.</w:t>
      </w:r>
    </w:p>
    <w:p w14:paraId="18B38F47" w14:textId="77777777" w:rsidR="00A11513" w:rsidRPr="00A11513" w:rsidRDefault="00A11513" w:rsidP="00A11513">
      <w:pPr>
        <w:numPr>
          <w:ilvl w:val="0"/>
          <w:numId w:val="7"/>
        </w:numPr>
      </w:pPr>
      <w:r w:rsidRPr="00A11513">
        <w:t>A label-consistency gate and a minimum annotation-agreement level before training.</w:t>
      </w:r>
    </w:p>
    <w:p w14:paraId="3B8C58BB" w14:textId="77777777" w:rsidR="00A11513" w:rsidRPr="00A11513" w:rsidRDefault="00A11513" w:rsidP="00A11513">
      <w:pPr>
        <w:numPr>
          <w:ilvl w:val="0"/>
          <w:numId w:val="7"/>
        </w:numPr>
      </w:pPr>
      <w:r w:rsidRPr="00A11513">
        <w:t>Drift monitoring after release. The feedback stage is a skipped placeholder.</w:t>
      </w:r>
    </w:p>
    <w:p w14:paraId="1234D1C8" w14:textId="77777777" w:rsidR="00A11513" w:rsidRPr="00A11513" w:rsidRDefault="00A11513" w:rsidP="00A11513">
      <w:pPr>
        <w:rPr>
          <w:b/>
          <w:bCs/>
        </w:rPr>
      </w:pPr>
      <w:r w:rsidRPr="00A11513">
        <w:rPr>
          <w:b/>
          <w:bCs/>
        </w:rPr>
        <w:t>Document quality</w:t>
      </w:r>
    </w:p>
    <w:p w14:paraId="0F60A2F3" w14:textId="77777777" w:rsidR="00A11513" w:rsidRPr="00A11513" w:rsidRDefault="00A11513" w:rsidP="00A11513">
      <w:r w:rsidRPr="00A11513">
        <w:t>At about 1,800 lines, the architecture mixes design, build status and a changelog: four revision tables come before §0. Moving build status into the specs and the revision history into an appendix would leave a design document that can be read in one sitting.</w:t>
      </w:r>
    </w:p>
    <w:p w14:paraId="09580E16" w14:textId="77777777" w:rsidR="00A11513" w:rsidRPr="00A11513" w:rsidRDefault="00A11513" w:rsidP="00A11513">
      <w:r w:rsidRPr="00A11513">
        <w:t>One check is still open: the MinerU licence for commercial use is still listed as an open item, and this review did not verify its current terms.</w:t>
      </w:r>
    </w:p>
    <w:p w14:paraId="12211240" w14:textId="77777777" w:rsidR="00A11513" w:rsidRPr="00A11513" w:rsidRDefault="00A11513" w:rsidP="00A11513">
      <w:r w:rsidRPr="00A11513">
        <w:t>If needed, this can be turned into a review document, alongside the earlier review file in the same folder.</w:t>
      </w:r>
    </w:p>
    <w:p w14:paraId="0E641062" w14:textId="77777777" w:rsidR="00CA54C8" w:rsidRDefault="00CA54C8"/>
    <w:sectPr w:rsidR="00CA5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657D"/>
    <w:multiLevelType w:val="multilevel"/>
    <w:tmpl w:val="5658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13D2F"/>
    <w:multiLevelType w:val="multilevel"/>
    <w:tmpl w:val="085E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D7014"/>
    <w:multiLevelType w:val="multilevel"/>
    <w:tmpl w:val="157C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A2F1B"/>
    <w:multiLevelType w:val="multilevel"/>
    <w:tmpl w:val="B672D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F47670"/>
    <w:multiLevelType w:val="multilevel"/>
    <w:tmpl w:val="E76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BB118E"/>
    <w:multiLevelType w:val="multilevel"/>
    <w:tmpl w:val="3260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611BF"/>
    <w:multiLevelType w:val="multilevel"/>
    <w:tmpl w:val="01A6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068105">
    <w:abstractNumId w:val="1"/>
  </w:num>
  <w:num w:numId="2" w16cid:durableId="488134952">
    <w:abstractNumId w:val="2"/>
  </w:num>
  <w:num w:numId="3" w16cid:durableId="16320824">
    <w:abstractNumId w:val="3"/>
  </w:num>
  <w:num w:numId="4" w16cid:durableId="539628017">
    <w:abstractNumId w:val="5"/>
  </w:num>
  <w:num w:numId="5" w16cid:durableId="1782913741">
    <w:abstractNumId w:val="0"/>
  </w:num>
  <w:num w:numId="6" w16cid:durableId="1441031691">
    <w:abstractNumId w:val="4"/>
  </w:num>
  <w:num w:numId="7" w16cid:durableId="283314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513"/>
    <w:rsid w:val="00330F26"/>
    <w:rsid w:val="006722A0"/>
    <w:rsid w:val="00A11513"/>
    <w:rsid w:val="00CA5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AB27"/>
  <w15:chartTrackingRefBased/>
  <w15:docId w15:val="{4719482D-38AA-4DE0-BE9D-CD30C3FA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513"/>
    <w:rPr>
      <w:rFonts w:eastAsiaTheme="majorEastAsia" w:cstheme="majorBidi"/>
      <w:color w:val="272727" w:themeColor="text1" w:themeTint="D8"/>
    </w:rPr>
  </w:style>
  <w:style w:type="paragraph" w:styleId="Title">
    <w:name w:val="Title"/>
    <w:basedOn w:val="Normal"/>
    <w:next w:val="Normal"/>
    <w:link w:val="TitleChar"/>
    <w:uiPriority w:val="10"/>
    <w:qFormat/>
    <w:rsid w:val="00A11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513"/>
    <w:pPr>
      <w:spacing w:before="160"/>
      <w:jc w:val="center"/>
    </w:pPr>
    <w:rPr>
      <w:i/>
      <w:iCs/>
      <w:color w:val="404040" w:themeColor="text1" w:themeTint="BF"/>
    </w:rPr>
  </w:style>
  <w:style w:type="character" w:customStyle="1" w:styleId="QuoteChar">
    <w:name w:val="Quote Char"/>
    <w:basedOn w:val="DefaultParagraphFont"/>
    <w:link w:val="Quote"/>
    <w:uiPriority w:val="29"/>
    <w:rsid w:val="00A11513"/>
    <w:rPr>
      <w:i/>
      <w:iCs/>
      <w:color w:val="404040" w:themeColor="text1" w:themeTint="BF"/>
    </w:rPr>
  </w:style>
  <w:style w:type="paragraph" w:styleId="ListParagraph">
    <w:name w:val="List Paragraph"/>
    <w:basedOn w:val="Normal"/>
    <w:uiPriority w:val="34"/>
    <w:qFormat/>
    <w:rsid w:val="00A11513"/>
    <w:pPr>
      <w:ind w:left="720"/>
      <w:contextualSpacing/>
    </w:pPr>
  </w:style>
  <w:style w:type="character" w:styleId="IntenseEmphasis">
    <w:name w:val="Intense Emphasis"/>
    <w:basedOn w:val="DefaultParagraphFont"/>
    <w:uiPriority w:val="21"/>
    <w:qFormat/>
    <w:rsid w:val="00A11513"/>
    <w:rPr>
      <w:i/>
      <w:iCs/>
      <w:color w:val="0F4761" w:themeColor="accent1" w:themeShade="BF"/>
    </w:rPr>
  </w:style>
  <w:style w:type="paragraph" w:styleId="IntenseQuote">
    <w:name w:val="Intense Quote"/>
    <w:basedOn w:val="Normal"/>
    <w:next w:val="Normal"/>
    <w:link w:val="IntenseQuoteChar"/>
    <w:uiPriority w:val="30"/>
    <w:qFormat/>
    <w:rsid w:val="00A11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513"/>
    <w:rPr>
      <w:i/>
      <w:iCs/>
      <w:color w:val="0F4761" w:themeColor="accent1" w:themeShade="BF"/>
    </w:rPr>
  </w:style>
  <w:style w:type="character" w:styleId="IntenseReference">
    <w:name w:val="Intense Reference"/>
    <w:basedOn w:val="DefaultParagraphFont"/>
    <w:uiPriority w:val="32"/>
    <w:qFormat/>
    <w:rsid w:val="00A11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1477</Words>
  <Characters>8422</Characters>
  <Application>Microsoft Office Word</Application>
  <DocSecurity>0</DocSecurity>
  <Lines>70</Lines>
  <Paragraphs>19</Paragraphs>
  <ScaleCrop>false</ScaleCrop>
  <Company/>
  <LinksUpToDate>false</LinksUpToDate>
  <CharactersWithSpaces>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Shachindra Thakar</dc:creator>
  <cp:keywords/>
  <dc:description/>
  <cp:lastModifiedBy>Shachindra Thakar</cp:lastModifiedBy>
  <cp:revision>1</cp:revision>
  <dcterms:created xsi:type="dcterms:W3CDTF">2026-10-19T09:55:00Z</dcterms:created>
  <dcterms:modified xsi:type="dcterms:W3CDTF">2026-10-19T09:55:00Z</dcterms:modified>
</cp:coreProperties>
</file>