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(2026-09-29)</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2026-09-29.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r>
        <w:tc>
          <w:tcPr/>
          <w:p>
            <w:pPr>
              <w:pStyle w:val="Compact"/>
              <w:jc w:val="left"/>
            </w:pPr>
            <w:r>
              <w:rPr/>
              <w:t>classify and page_select are not yet built into the corpus; the classifier and page-selection metrics are not applicable until they are</w:t>
            </w:r>
          </w:p>
        </w:tc>
        <w:tc>
          <w:tcPr/>
          <w:p>
            <w:pPr>
              <w:pStyle w:val="Compact"/>
              <w:jc w:val="left"/>
            </w:pPr>
            <w:r>
              <w:rPr/>
              <w:t>§7b, §11.1, §15.2</w:t>
            </w:r>
          </w:p>
        </w:tc>
        <w:tc>
          <w:tcPr/>
          <w:p>
            <w:pPr>
              <w:pStyle w:val="Compact"/>
              <w:jc w:val="left"/>
            </w:pPr>
            <w:r>
              <w:rPr/>
              <w:t>Scoring an untrained task measures the base model, and blocked the gate</w:t>
            </w:r>
          </w:p>
        </w:tc>
      </w:tr>
      <w:tr>
        <w:tc>
          <w:tcPr/>
          <w:p>
            <w:pPr>
              <w:pStyle w:val="Compact"/>
              <w:jc w:val="left"/>
            </w:pPr>
            <w:r>
              <w:rPr/>
              <w:t>A scope may be narrowed by line of business: personal_lines (homeowners, personal auto, dwelling fire, ocean marine, classic auto, motorcycle, recreational vehicle, personal umbrella, flood); its corpus view, golden eval and serving keep to its lines, and other lines are refused</w:t>
            </w:r>
          </w:p>
        </w:tc>
        <w:tc>
          <w:tcPr/>
          <w:p>
            <w:pPr>
              <w:pStyle w:val="Compact"/>
              <w:jc w:val="left"/>
            </w:pPr>
            <w:r>
              <w:rPr/>
              <w:t>§4.1, §12.3</w:t>
            </w:r>
          </w:p>
        </w:tc>
        <w:tc>
          <w:tcPr/>
          <w:p>
            <w:pPr>
              <w:pStyle w:val="Compact"/>
              <w:jc w:val="left"/>
            </w:pPr>
            <w:r>
              <w:rPr/>
              <w:t>A personal-lines adapter reading a commercial policy would answer confidently and wrongly</w:t>
            </w:r>
          </w:p>
        </w:tc>
      </w:tr>
      <w:tr>
        <w:tc>
          <w:tcPr/>
          <w:p>
            <w:pPr>
              <w:pStyle w:val="Compact"/>
              <w:jc w:val="left"/>
            </w:pPr>
            <w:r>
              <w:rPr/>
              <w:t>MinerU 1.x wired: one markdown string per page from its content list, page images from the shared renderer, table rows counted in its HTML tables</w:t>
            </w:r>
          </w:p>
        </w:tc>
        <w:tc>
          <w:tcPr/>
          <w:p>
            <w:pPr>
              <w:pStyle w:val="Compact"/>
              <w:jc w:val="left"/>
            </w:pPr>
            <w:r>
              <w:rPr/>
              <w:t>§8a</w:t>
            </w:r>
          </w:p>
        </w:tc>
        <w:tc>
          <w:tcPr/>
          <w:p>
            <w:pPr>
              <w:pStyle w:val="Compact"/>
              <w:jc w:val="left"/>
            </w:pPr>
            <w:r>
              <w:rPr/>
              <w:t>The OCR stage was a stub; HTML tables made the row-completeness check blind</w:t>
            </w:r>
          </w:p>
        </w:tc>
      </w:tr>
      <w:tr>
        <w:tc>
          <w:tcPr/>
          <w:p>
            <w:pPr>
              <w:pStyle w:val="Compact"/>
              <w:jc w:val="left"/>
            </w:pPr>
            <w:r>
              <w:rPr/>
              <w:t>Serving routes each request through the release the plan chose — its adapter and calibrators; with several promoted releases the engine loads the base and serves each release as its LoRA</w:t>
            </w:r>
          </w:p>
        </w:tc>
        <w:tc>
          <w:tcPr/>
          <w:p>
            <w:pPr>
              <w:pStyle w:val="Compact"/>
              <w:jc w:val="left"/>
            </w:pPr>
            <w:r>
              <w:rPr/>
              <w:t>§12.3, §14.4</w:t>
            </w:r>
          </w:p>
        </w:tc>
        <w:tc>
          <w:tcPr/>
          <w:p>
            <w:pPr>
              <w:pStyle w:val="Compact"/>
              <w:jc w:val="left"/>
            </w:pPr>
            <w:r>
              <w:rPr/>
              <w:t>The chosen release was discarded: a personal-lines policy was read by the unified model</w:t>
            </w:r>
          </w:p>
        </w:tc>
      </w:tr>
      <w:tr>
        <w:tc>
          <w:tcPr/>
          <w:p>
            <w:pPr>
              <w:pStyle w:val="Compact"/>
              <w:jc w:val="left"/>
            </w:pPr>
            <w:r>
              <w:rPr/>
              <w:t>A policy's line is validated against the lines with a canonical schema, not the LOB enum</w:t>
            </w:r>
          </w:p>
        </w:tc>
        <w:tc>
          <w:tcPr/>
          <w:p>
            <w:pPr>
              <w:pStyle w:val="Compact"/>
              <w:jc w:val="left"/>
            </w:pPr>
            <w:r>
              <w:rPr/>
              <w:t>§0b</w:t>
            </w:r>
          </w:p>
        </w:tc>
        <w:tc>
          <w:tcPr/>
          <w:p>
            <w:pPr>
              <w:pStyle w:val="Compact"/>
              <w:jc w:val="left"/>
            </w:pPr>
            <w:r>
              <w:rPr/>
              <w:t>The enum rejected flood, cyber and the schema spellings, failing the corpus build</w:t>
            </w:r>
          </w:p>
        </w:tc>
      </w:tr>
      <w:tr>
        <w:tc>
          <w:tcPr/>
          <w:p>
            <w:pPr>
              <w:pStyle w:val="Compact"/>
              <w:jc w:val="left"/>
            </w:pPr>
            <w:r>
              <w:rPr/>
              <w:t>Data is audited before upload (python -m data_pipeline.audit): layout, labels against the PDF text, formats, totals, a spot-check sample; blockers must be zero. The gate may use an eval set frozen from its own corpus build</w:t>
            </w:r>
          </w:p>
        </w:tc>
        <w:tc>
          <w:tcPr/>
          <w:p>
            <w:pPr>
              <w:pStyle w:val="Compact"/>
              <w:jc w:val="left"/>
            </w:pPr>
            <w:r>
              <w:rPr/>
              <w:t>§8, §15.4</w:t>
            </w:r>
          </w:p>
        </w:tc>
        <w:tc>
          <w:tcPr/>
          <w:p>
            <w:pPr>
              <w:pStyle w:val="Compact"/>
              <w:jc w:val="left"/>
            </w:pPr>
            <w:r>
              <w:rPr/>
              <w:t>Label errors found after training cost a retrain; the first corpus build had no earlier set to freeze</w:t>
            </w:r>
          </w:p>
        </w:tc>
      </w:tr>
      <w:tr>
        <w:tc>
          <w:tcPr/>
          <w:p>
            <w:pPr>
              <w:pStyle w:val="Compact"/>
              <w:jc w:val="left"/>
            </w:pPr>
            <w:r>
              <w:rPr/>
              <w:t>One H200 SXM (141 GB) pod runs every GPU stage in process, on a CUDA 12.8 / torch 2.8 image, with a network volume at /workspace for environments, base model, staging and logs</w:t>
            </w:r>
          </w:p>
        </w:tc>
        <w:tc>
          <w:tcPr/>
          <w:p>
            <w:pPr>
              <w:pStyle w:val="Compact"/>
              <w:jc w:val="left"/>
            </w:pPr>
            <w:r>
              <w:rPr/>
              <w:t>§13, §14.2</w:t>
            </w:r>
          </w:p>
        </w:tc>
        <w:tc>
          <w:tcPr/>
          <w:p>
            <w:pPr>
              <w:pStyle w:val="Compact"/>
              <w:jc w:val="left"/>
            </w:pPr>
            <w:r>
              <w:rPr/>
              <w:t>The stack pins torch 2.8 / vLLM 0.11, which the CUDA 12.4 / torch 2.4 image could not run; the container disk is wiped on stop</w:t>
            </w:r>
          </w:p>
        </w:tc>
      </w:tr>
      <w:tr>
        <w:tc>
          <w:tcPr/>
          <w:p>
            <w:pPr>
              <w:pStyle w:val="Compact"/>
              <w:jc w:val="left"/>
            </w:pPr>
            <w:r>
              <w:rPr/>
              <w:t>Two environments: /workspace/venv (training + serving) and /workspace/venv-ocr (MinerU 1.x). OCR runs first, in its own; finetune refuses with that command while documents still need OCR. The serving endpoint does no OCR</w:t>
            </w:r>
          </w:p>
        </w:tc>
        <w:tc>
          <w:tcPr/>
          <w:p>
            <w:pPr>
              <w:pStyle w:val="Compact"/>
              <w:jc w:val="left"/>
            </w:pPr>
            <w:r>
              <w:rPr/>
              <w:t>§8a, §10.2, §14.2, §14.4</w:t>
            </w:r>
          </w:p>
        </w:tc>
        <w:tc>
          <w:tcPr/>
          <w:p>
            <w:pPr>
              <w:pStyle w:val="Compact"/>
              <w:jc w:val="left"/>
            </w:pPr>
            <w:r>
              <w:rPr/>
              <w:t>MinerU 1.x cannot be installed alongside vLLM 0.11 / torch 2.8</w:t>
            </w:r>
          </w:p>
        </w:tc>
      </w:tr>
      <w:tr>
        <w:tc>
          <w:tcPr/>
          <w:p>
            <w:pPr>
              <w:pStyle w:val="Compact"/>
              <w:jc w:val="left"/>
            </w:pPr>
            <w:r>
              <w:rPr/>
              <w:t>One-command pod bootstrap (scripts/pod_bootstrap.sh): checks, .env keys, both environments, MinerU’s config on the volume set to cuda, the base model at its pinned revision, the Phase 0 spike</w:t>
            </w:r>
          </w:p>
        </w:tc>
        <w:tc>
          <w:tcPr/>
          <w:p>
            <w:pPr>
              <w:pStyle w:val="Compact"/>
              <w:jc w:val="left"/>
            </w:pPr>
            <w:r>
              <w:rPr/>
              <w:t>§14.2</w:t>
            </w:r>
          </w:p>
        </w:tc>
        <w:tc>
          <w:tcPr/>
          <w:p>
            <w:pPr>
              <w:pStyle w:val="Compact"/>
              <w:jc w:val="left"/>
            </w:pPr>
            <w:r>
              <w:rPr/>
              <w:t>A fresh pod needed a dozen manual steps, each easy to get wrong</w:t>
            </w:r>
          </w:p>
        </w:tc>
      </w:tr>
      <w:tr>
        <w:tc>
          <w:tcPr/>
          <w:p>
            <w:pPr>
              <w:pStyle w:val="Compact"/>
              <w:jc w:val="left"/>
            </w:pPr>
            <w:r>
              <w:rPr/>
              <w:t>Base model pinned: Qwen/Qwen3-VL-8B-Instruct@0c351dd01ed87e9c1b53cbc748cba10e6187ff3b (Hub commit of 2025-10-15)</w:t>
            </w:r>
          </w:p>
        </w:tc>
        <w:tc>
          <w:tcPr/>
          <w:p>
            <w:pPr>
              <w:pStyle w:val="Compact"/>
              <w:jc w:val="left"/>
            </w:pPr>
            <w:r>
              <w:rPr/>
              <w:t>§9, §12</w:t>
            </w:r>
          </w:p>
        </w:tc>
        <w:tc>
          <w:tcPr/>
          <w:p>
            <w:pPr>
              <w:pStyle w:val="Compact"/>
              <w:jc w:val="left"/>
            </w:pPr>
            <w:r>
              <w:rPr/>
              <w:t>A floating revision makes a regression unattributable</w:t>
            </w:r>
          </w:p>
        </w:tc>
      </w:tr>
      <w:tr>
        <w:tc>
          <w:tcPr/>
          <w:p>
            <w:pPr>
              <w:pStyle w:val="Compact"/>
              <w:jc w:val="left"/>
            </w:pPr>
            <w:r>
              <w:rPr/>
              <w:t>Delivered batches travel through Blob: staged with azcopy under intake/{batch}/ in the raw container, pulled onto the pod (pull_intake, or import_labeled_pdfs --from-blob) and imported there</w:t>
            </w:r>
          </w:p>
        </w:tc>
        <w:tc>
          <w:tcPr/>
          <w:p>
            <w:pPr>
              <w:pStyle w:val="Compact"/>
              <w:jc w:val="left"/>
            </w:pPr>
            <w:r>
              <w:rPr/>
              <w:t>§8, §18</w:t>
            </w:r>
          </w:p>
        </w:tc>
        <w:tc>
          <w:tcPr/>
          <w:p>
            <w:pPr>
              <w:pStyle w:val="Compact"/>
              <w:jc w:val="left"/>
            </w:pPr>
            <w:r>
              <w:rPr/>
              <w:t>The ~20 GB training folder cannot go through git; staged documents carry the same PII as raw-documents/</w:t>
            </w:r>
          </w:p>
        </w:tc>
      </w:tr>
    </w:tbl>
    <w:p>
      <w:pPr>
        <w:pStyle w:val="FirstParagraph"/>
      </w:pPr>
      <w:r>
        <w:rPr/>
        <w:t>Open against this document: §15.4 asks for golden documents that are double-annotated and adjudicated. The freeze step enforces the ≥ 150 per type size (unless explicitly allowed) but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keepNext/>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keepNext/>
              <w:jc w:val="left"/>
            </w:pPr>
            <w:r>
              <w:rPr>
                <w:bCs/>
                <w:b/>
              </w:rPr>
              <w:t xml:space="preserve">Labeled documents per type</w:t>
            </w:r>
          </w:p>
        </w:tc>
        <w:tc>
          <w:tcPr/>
          <w:p>
            <w:pPr>
              <w:pStyle w:val="Compact"/>
              <w:keepNext/>
              <w:jc w:val="left"/>
            </w:pPr>
            <w:r>
              <w:rPr>
                <w:bCs/>
                <w:b/>
              </w:rPr>
              <w:t xml:space="preserve">Split (train / val / test)</w:t>
            </w:r>
          </w:p>
        </w:tc>
        <w:tc>
          <w:tcPr/>
          <w:p>
            <w:pPr>
              <w:pStyle w:val="Compact"/>
              <w:keepNext/>
              <w:jc w:val="left"/>
            </w:pPr>
            <w:r>
              <w:rPr>
                <w:bCs/>
                <w:b/>
              </w:rPr>
              <w:t xml:space="preserve">Note</w:t>
            </w:r>
          </w:p>
        </w:tc>
      </w:tr>
      <w:tr>
        <w:trPr>
          <w:cantSplit/>
        </w:trPr>
        <w:tc>
          <w:tcPr/>
          <w:p>
            <w:pPr>
              <w:pStyle w:val="Compact"/>
              <w:keepNext/>
              <w:jc w:val="left"/>
            </w:pPr>
            <w:r>
              <w:rPr/>
              <w:t>Under 200 (pilot ~25–30)</w:t>
            </w:r>
          </w:p>
        </w:tc>
        <w:tc>
          <w:tcPr/>
          <w:p>
            <w:pPr>
              <w:pStyle w:val="Compact"/>
              <w:keepNext/>
              <w:jc w:val="left"/>
            </w:pPr>
            <w:r>
              <w:t xml:space="preserve">0.70 / 0.18 / 0.12</w:t>
            </w:r>
          </w:p>
        </w:tc>
        <w:tc>
          <w:tcPr/>
          <w:p>
            <w:pPr>
              <w:pStyle w:val="Compact"/>
              <w:keepNext/>
              <w:jc w:val="left"/>
            </w:pPr>
            <w:r>
              <w:t xml:space="preserve">Directional metrics only</w:t>
            </w:r>
          </w:p>
        </w:tc>
      </w:tr>
      <w:tr>
        <w:trPr>
          <w:cantSplit/>
        </w:trPr>
        <w:tc>
          <w:tcPr/>
          <w:p>
            <w:pPr>
              <w:pStyle w:val="Compact"/>
              <w:keepNext/>
              <w:jc w:val="left"/>
            </w:pPr>
            <w:r>
              <w:rPr/>
              <w:t>200–999</w:t>
            </w:r>
          </w:p>
        </w:tc>
        <w:tc>
          <w:tcPr/>
          <w:p>
            <w:pPr>
              <w:pStyle w:val="Compact"/>
              <w:keepNext/>
              <w:jc w:val="left"/>
            </w:pPr>
            <w:r>
              <w:t xml:space="preserve">0.75 / 0.15 / 0.10</w:t>
            </w:r>
          </w:p>
        </w:tc>
        <w:tc>
          <w:tcPr/>
          <w:p>
            <w:pPr>
              <w:pStyle w:val="Compact"/>
              <w:keepNex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(§7a), on the H200 SXM 141 GB, and writes it to the spike report. The pod class table in §14 is filled from that report. If the 32,768 cap does not fit on one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single H200 SXM 141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b/>
        </w:rPr>
        <w:t>Pinned in pyproject.toml, one dependency group per pod:</w:t>
      </w:r>
      <w:r>
        <w:t xml:space="preserve"> ms-swift ≥ 3.9 &lt; 4, transformers ≥ 4.57, torch 2.8.x, vLLM 0.11.0 (identical on training and serving pods — calibration is fitted on its logprobs), MinerU 1.x (magic-pdf) in its own OCR environment, and llmcompressor in a separate quantization environment. scripts/setup_pod.sh installs a role and builds flash-attn against the installed torch; scripts/pod_bootstrap.sh builds the training and OCR environments on the volume.</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Task mix per epoch</w:t>
      </w:r>
      <w:r>
        <w:t xml:space="preserve"> (by examples): extract rows, and for canonical policies one row per section-group × page window. The classify and page_select tasks are designed here but not yet built into the corpus (common.tasks.CORPUS_TASKS); until they are, the classifier and page-selection metrics are not applicable to the gate.</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Eval validation loss every N steps (at least 5 evaluations per run); save a checkpoint at each eval. No early-stopping patience is passed — ms-swift 3 takes none, and the shipped checkpoint is chosen by generated field accuracy (below), so stopping early would only remove candidates</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Native FP8 on Ada / Hopper (L4, L40S, H100, H200);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w:t>
      </w:r>
      <w:r>
        <w:br/>
      </w:r>
      <w:r>
        <w:rPr>
          <w:rStyle w:val="VerbatimChar"/>
        </w:rPr>
        <w:t xml:space="preserve">    --corpus-version v1 --out-version v2</w:t>
      </w:r>
      <w:r>
        <w:br/>
      </w:r>
      <w:r>
        <w:rPr>
          <w:rStyle w:val="VerbatimChar"/>
        </w:rPr>
        <w:t>python -m orchestration.run package --version v2 \</w:t>
      </w:r>
      <w:r>
        <w:br/>
      </w:r>
      <w:r>
        <w:rPr>
          <w:rStyle w:val="VerbatimChar"/>
        </w:rPr>
        <w:t xml:space="preserve">    --release-id release-2026.11.1 --formats bf16</w:t>
      </w:r>
      <w:r>
        <w:br/>
      </w:r>
      <w:r>
        <w:rPr>
          <w:rStyle w:val="VerbatimChar"/>
        </w:rPr>
        <w:t>python -m orchestration.run extract --model release-2026.11.1 \</w:t>
      </w:r>
      <w:r>
        <w:br/>
      </w:r>
      <w:r>
        <w:rPr>
          <w:rStyle w:val="VerbatimChar"/>
        </w:rPr>
        <w:t xml:space="preserve">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orchestration/</w:t>
      </w:r>
      <w:r>
        <w:rPr>
          <w:rStyle w:val="VerbatimChar"/>
          <w:bCs/>
          <w:b/>
        </w:rPr>
        <w:t>config/pipeline.yaml</w:t>
      </w:r>
      <w:r>
        <w:t>, not CLI flags, so reruns are reproducible. Every GPU</w:t>
      </w:r>
      <w:r/>
      <w:r>
        <w:rPr>
          <w:rStyle w:val="VerbatimChar"/>
        </w:rPr>
      </w:r>
      <w:r/>
      <w:r>
        <w:t xml:space="preserve"> stage runs on one H200 SXM (141 GB) pod, in process, each vLLM engine released before the next loads; the per-stage classes stay configurable should OCR later move to a cheaper L4/L40S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b/>
        </w:rPr>
        <w:t>On the pod every command detaches into tmux</w:t>
      </w:r>
      <w:r>
        <w:t xml:space="preserve"> and returns with the job’s name (bash scripts/pod_run.sh status | attach | tail | 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clone repo @ commit                         vLLM worker (OCR runs upstream)</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H200 SXM 141 GB (the one pod)</w:t>
            </w:r>
          </w:p>
        </w:tc>
      </w:tr>
      <w:tr>
        <w:tc>
          <w:tcPr/>
          <w:p>
            <w:pPr>
              <w:pStyle w:val="Compact"/>
              <w:jc w:val="left"/>
            </w:pPr>
            <w:r>
              <w:t xml:space="preserve">Unified adapter training</w:t>
            </w:r>
          </w:p>
        </w:tc>
        <w:tc>
          <w:tcPr/>
          <w:p>
            <w:pPr>
              <w:pStyle w:val="Compact"/>
              <w:jc w:val="left"/>
            </w:pPr>
            <w:r>
              <w:t>H200 SXM 141 GB (×2 only if sequence parallelism is required, §9.3)</w:t>
            </w:r>
          </w:p>
        </w:tc>
      </w:tr>
      <w:tr>
        <w:tc>
          <w:tcPr/>
          <w:p>
            <w:pPr>
              <w:pStyle w:val="Compact"/>
              <w:jc w:val="left"/>
            </w:pPr>
            <w:r>
              <w:t xml:space="preserve">vLLM checkpoint eval, merge, calibration, gate</w:t>
            </w:r>
          </w:p>
        </w:tc>
        <w:tc>
          <w:tcPr/>
          <w:p>
            <w:pPr>
              <w:pStyle w:val="Compact"/>
              <w:jc w:val="left"/>
            </w:pPr>
            <w:r>
              <w:t>H200 SXM 141 GB</w:t>
            </w:r>
          </w:p>
        </w:tc>
      </w:tr>
      <w:tr>
        <w:tc>
          <w:tcPr/>
          <w:p>
            <w:pPr>
              <w:pStyle w:val="Compact"/>
              <w:jc w:val="left"/>
            </w:pPr>
            <w:r>
              <w:t xml:space="preserve">FP8 quantization</w:t>
            </w:r>
          </w:p>
        </w:tc>
        <w:tc>
          <w:tcPr/>
          <w:p>
            <w:pPr>
              <w:pStyle w:val="Compact"/>
              <w:jc w:val="left"/>
            </w:pPr>
            <w:r>
              <w:t>H200 SXM 141 GB</w:t>
            </w:r>
          </w:p>
        </w:tc>
      </w:tr>
    </w:tbl>
    <w:p>
      <w:pPr>
        <w:pStyle w:val="BodyText"/>
      </w:pPr>
      <w:r>
        <w:rPr/>
        <w:t>Final pod classes are confirmed from the Phase-0 memory report. The pod runs runpod/pytorch:2.8.0-py3.11-cuda12.8.1 with a network volume at /workspace, because the container disk is wiped when the pod stops. scripts/pod_bootstrap.sh prepares it in one command: GPU, mount and free-space checks; the .env keys; two environments on the volume (/workspace/venv for training and serving, /workspace/venv-ocr for MinerU 1.x, which cannot share an environment with vLLM 0.11 / torch 2.8); MinerU’s config on the volume set to cuda; the base model at its pinned revision; the Phase 0 spike. OCR runs first, in its own environment; finetune then finds nothing left to OCR.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page-image cache per corpus</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worker image: vLLM (pinned) + the serving handler. The endpoint does no OCR: requests carry page texts produced by MinerU at the corpus pin, in its own environment (it cannot share one with vLLM 0.11). Where serving-time OCR runs on a GPU is open.</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150 test documents unless explicitly allowed. The gate runs it through the serving pipeline, in all three modes; a line-scoped release is gated on the frozen documents of its lines.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Peak VRAM per task cap on the H200 SXM 141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rPr>
          <w:rStyle w:val="VerbatimChar"/>
        </w:rPr>
        <w:t xml:space="preserve">  intake/{batch}/{document}/                      # delivered batches: PDF + golden.json + metadata.json, staged by azcopy</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insurance-extraction-finetuning/</w:t>
      </w:r>
      <w:r>
        <w:br/>
      </w:r>
      <w:r>
        <w:rPr>
          <w:rStyle w:val="VerbatimChar"/>
        </w:rPr>
        <w:t>├── pyproject.toml  requirements*.txt  .env.example  README.md</w:t>
      </w:r>
      <w:r>
        <w:br/>
      </w:r>
      <w:r>
        <w:rPr>
          <w:rStyle w:val="VerbatimChar"/>
        </w:rPr>
        <w:t>├── configs/          base_model.yaml  scopes.yaml  schema_sections.yaml</w:t>
      </w:r>
      <w:r>
        <w:br/>
      </w:r>
      <w:r>
        <w:rPr>
          <w:rStyle w:val="VerbatimChar"/>
        </w:rPr>
        <w:t>│   │                 layout_families.yaml</w:t>
      </w:r>
      <w:r>
        <w:br/>
      </w:r>
      <w:r>
        <w:rPr>
          <w:rStyle w:val="VerbatimChar"/>
        </w:rPr>
        <w:t>│   ├── canonical schema/LOB Schema/   34 client LOB schemas (output)</w:t>
      </w:r>
      <w:r>
        <w:br/>
      </w:r>
      <w:r>
        <w:rPr>
          <w:rStyle w:val="VerbatimChar"/>
        </w:rPr>
        <w:t>│   ├── shared/       vision.yaml (pixel budgets)  sequence.yaml (caps)</w:t>
      </w:r>
      <w:r>
        <w:br/>
      </w:r>
      <w:r>
        <w:rPr>
          <w:rStyle w:val="VerbatimChar"/>
        </w:rPr>
        <w:t>│   ├── training/     unified.yaml     sweeps/  phase1..3 + README</w:t>
      </w:r>
      <w:r>
        <w:br/>
      </w:r>
      <w:r>
        <w:rPr>
          <w:rStyle w:val="VerbatimChar"/>
        </w:rPr>
        <w:t>│   └── inference/    vllm_serving.yaml    deepspeed/  zero2  zero3</w:t>
      </w:r>
      <w:r>
        <w:br/>
      </w:r>
      <w:r>
        <w:rPr>
          <w:rStyle w:val="VerbatimChar"/>
        </w:rPr>
        <w:t>├── schemas/          acord25/125/140, lossrun, policy_doc schemas,</w:t>
      </w:r>
      <w:r>
        <w:br/>
      </w:r>
      <w:r>
        <w:rPr>
          <w:rStyle w:val="VerbatimChar"/>
        </w:rPr>
        <w:t>│                     lob.enum.json, aliases/, examples/</w:t>
      </w:r>
      <w:r>
        <w:br/>
      </w:r>
      <w:r>
        <w:rPr>
          <w:rStyle w:val="VerbatimChar"/>
        </w:rPr>
        <w:t>├── prompts/          system_prompt_template.jinja,</w:t>
      </w:r>
      <w:r>
        <w:br/>
      </w:r>
      <w:r>
        <w:rPr>
          <w:rStyle w:val="VerbatimChar"/>
        </w:rPr>
        <w:t>│                     doc_type_classifier_prompt.jinja, doc_types/*.jinja</w:t>
      </w:r>
      <w:r>
        <w:br/>
      </w:r>
      <w:r>
        <w:rPr>
          <w:rStyle w:val="VerbatimChar"/>
        </w:rPr>
        <w:t>├── common/           canonical config constants gpu ids lob normalize</w:t>
      </w:r>
      <w:r>
        <w:br/>
      </w:r>
      <w:r>
        <w:rPr>
          <w:rStyle w:val="VerbatimChar"/>
        </w:rPr>
        <w:t>│                     prompts run_ids schema_sections schemas scopes</w:t>
      </w:r>
      <w:r>
        <w:br/>
      </w:r>
      <w:r>
        <w:rPr>
          <w:rStyle w:val="VerbatimChar"/>
        </w:rPr>
        <w:t>│                     tasks aliases</w:t>
      </w:r>
      <w:r>
        <w:br/>
      </w:r>
      <w:r>
        <w:rPr>
          <w:rStyle w:val="VerbatimChar"/>
        </w:rPr>
        <w:t>├── artifact_registry/  blob_client  paths  transfer</w:t>
      </w:r>
      <w:r>
        <w:br/>
      </w:r>
      <w:r>
        <w:rPr>
          <w:rStyle w:val="VerbatimChar"/>
        </w:rPr>
        <w:t>├── registry_utils/   models  query_registry  write_run_manifest</w:t>
      </w:r>
      <w:r>
        <w:br/>
      </w:r>
      <w:r>
        <w:rPr>
          <w:rStyle w:val="VerbatimChar"/>
        </w:rPr>
        <w:t>├── data_pipeline/</w:t>
      </w:r>
      <w:r>
        <w:br/>
      </w:r>
      <w:r>
        <w:rPr>
          <w:rStyle w:val="VerbatimChar"/>
        </w:rPr>
        <w:t>│   ├── ingestion/    pull_raw_pdfs  import_labeled_pdfs  pull_intake</w:t>
      </w:r>
      <w:r>
        <w:br/>
      </w:r>
      <w:r>
        <w:rPr>
          <w:rStyle w:val="VerbatimChar"/>
        </w:rPr>
        <w:t>│   │                 import_prepared  dedup_and_group</w:t>
      </w:r>
      <w:r>
        <w:br/>
      </w:r>
      <w:r>
        <w:rPr>
          <w:rStyle w:val="VerbatimChar"/>
        </w:rPr>
        <w:t>│   ├── ocr/          run_mineru  render_only  mineru_version</w:t>
      </w:r>
      <w:r>
        <w:br/>
      </w:r>
      <w:r>
        <w:rPr>
          <w:rStyle w:val="VerbatimChar"/>
        </w:rPr>
        <w:t>│   ├── labeling/     pre_annotate  export_golden_labels</w:t>
      </w:r>
      <w:r>
        <w:br/>
      </w:r>
      <w:r>
        <w:rPr>
          <w:rStyle w:val="VerbatimChar"/>
        </w:rPr>
        <w:t>│   │                 derive_aliases  active_learning  review_tool/</w:t>
      </w:r>
      <w:r>
        <w:br/>
      </w:r>
      <w:r>
        <w:rPr>
          <w:rStyle w:val="VerbatimChar"/>
        </w:rPr>
        <w:t>│   ├── dataset_builder/  split_groups  sample_modes  expand_tasks</w:t>
      </w:r>
      <w:r>
        <w:br/>
      </w:r>
      <w:r>
        <w:rPr>
          <w:rStyle w:val="VerbatimChar"/>
        </w:rPr>
        <w:t>│   │                 policy_windows  noisy_ocr_augment  cap_check</w:t>
      </w:r>
      <w:r>
        <w:br/>
      </w:r>
      <w:r>
        <w:rPr>
          <w:rStyle w:val="VerbatimChar"/>
        </w:rPr>
        <w:t>│   │                 build_jsonl</w:t>
      </w:r>
      <w:r>
        <w:br/>
      </w:r>
      <w:r>
        <w:rPr>
          <w:rStyle w:val="VerbatimChar"/>
        </w:rPr>
        <w:t>│   └── corpus_manifest.py</w:t>
      </w:r>
      <w:r>
        <w:br/>
      </w:r>
      <w:r>
        <w:rPr>
          <w:rStyle w:val="VerbatimChar"/>
        </w:rPr>
        <w:t>├── training/         train  stage_data  length_check  corpus_view</w:t>
      </w:r>
      <w:r>
        <w:br/>
      </w:r>
      <w:r>
        <w:rPr>
          <w:rStyle w:val="VerbatimChar"/>
        </w:rPr>
        <w:t>│                     base_precision  data_collator  merge  sweep</w:t>
      </w:r>
      <w:r>
        <w:br/>
      </w:r>
      <w:r>
        <w:rPr>
          <w:rStyle w:val="VerbatimChar"/>
        </w:rPr>
        <w:t>│                     vit_gate  callbacks/early_stopping</w:t>
      </w:r>
      <w:r>
        <w:br/>
      </w:r>
      <w:r>
        <w:rPr>
          <w:rStyle w:val="VerbatimChar"/>
        </w:rPr>
        <w:t>├── inference_core/   model_runner  input_builder  span_map</w:t>
      </w:r>
      <w:r>
        <w:br/>
      </w:r>
      <w:r>
        <w:rPr>
          <w:rStyle w:val="VerbatimChar"/>
        </w:rPr>
        <w:t>│                     runner_config</w:t>
      </w:r>
      <w:r>
        <w:br/>
      </w:r>
      <w:r>
        <w:rPr>
          <w:rStyle w:val="VerbatimChar"/>
        </w:rPr>
        <w:t>├── evaluation/       run_eval  golden_eval  freeze_eval_set</w:t>
      </w:r>
      <w:r>
        <w:br/>
      </w:r>
      <w:r>
        <w:rPr>
          <w:rStyle w:val="VerbatimChar"/>
        </w:rPr>
        <w:t>│                     checkpoint_eval  validation_generation  gating</w:t>
      </w:r>
      <w:r>
        <w:br/>
      </w:r>
      <w:r>
        <w:rPr>
          <w:rStyle w:val="VerbatimChar"/>
        </w:rPr>
        <w:t>│                     bootstrap  metrics/{field_accuracy, confusable,</w:t>
      </w:r>
      <w:r>
        <w:br/>
      </w:r>
      <w:r>
        <w:rPr>
          <w:rStyle w:val="VerbatimChar"/>
        </w:rPr>
        <w:t>│                     coverage_metrics, extraction_faults}</w:t>
      </w:r>
      <w:r>
        <w:br/>
      </w:r>
      <w:r>
        <w:rPr>
          <w:rStyle w:val="VerbatimChar"/>
        </w:rPr>
        <w:t>├── calibration/      features  feature_calibrator  thresholds</w:t>
      </w:r>
      <w:r>
        <w:br/>
      </w:r>
      <w:r>
        <w:rPr>
          <w:rStyle w:val="VerbatimChar"/>
        </w:rPr>
        <w:t>│                     fit_calibration  apply_calibration</w:t>
      </w:r>
      <w:r>
        <w:br/>
      </w:r>
      <w:r>
        <w:rPr>
          <w:rStyle w:val="VerbatimChar"/>
        </w:rPr>
        <w:t>│                     logprob_confidence  list_completeness</w:t>
      </w:r>
      <w:r>
        <w:br/>
      </w:r>
      <w:r>
        <w:rPr>
          <w:rStyle w:val="VerbatimChar"/>
        </w:rPr>
        <w:t>│                     reconciliation</w:t>
      </w:r>
      <w:r>
        <w:br/>
      </w:r>
      <w:r>
        <w:rPr>
          <w:rStyle w:val="VerbatimChar"/>
        </w:rPr>
        <w:t>├── postprocessing/   quantize  quant_thresholds  validate_quant</w:t>
      </w:r>
      <w:r>
        <w:br/>
      </w:r>
      <w:r>
        <w:rPr>
          <w:rStyle w:val="VerbatimChar"/>
        </w:rPr>
        <w:t>├── serving/          vllm_entrypoint  pipeline  policy_merge</w:t>
      </w:r>
      <w:r>
        <w:br/>
      </w:r>
      <w:r>
        <w:rPr>
          <w:rStyle w:val="VerbatimChar"/>
        </w:rPr>
        <w:t>│                     lossrun_merge  page_router  doc_type_classifier</w:t>
      </w:r>
      <w:r>
        <w:br/>
      </w:r>
      <w:r>
        <w:rPr>
          <w:rStyle w:val="VerbatimChar"/>
        </w:rPr>
        <w:t>│                     adapter_router  release_router</w:t>
      </w:r>
      <w:r>
        <w:br/>
      </w:r>
      <w:r>
        <w:rPr>
          <w:rStyle w:val="VerbatimChar"/>
        </w:rPr>
        <w:t>├── orchestration/    run  pipeline_dag  runpod_controller  detach</w:t>
      </w:r>
      <w:r>
        <w:br/>
      </w:r>
      <w:r>
        <w:rPr>
          <w:rStyle w:val="VerbatimChar"/>
        </w:rPr>
        <w:t>│                     settings  config/pipeline.yaml</w:t>
      </w:r>
      <w:r>
        <w:br/>
      </w:r>
      <w:r>
        <w:rPr>
          <w:rStyle w:val="VerbatimChar"/>
        </w:rPr>
        <w:t>├── scripts/          pod_bootstrap.sh  setup_pod.sh  pod_run.sh  phase0_spike.py</w:t>
      </w:r>
      <w:r>
        <w:br/>
      </w:r>
      <w:r>
        <w:rPr>
          <w:rStyle w:val="VerbatimChar"/>
        </w:rPr>
        <w:t>│                     combine_specs.py  derive_aliases_from_canonical.py</w:t>
      </w:r>
      <w:r>
        <w:br/>
      </w:r>
      <w:r>
        <w:rPr>
          <w:rStyle w:val="VerbatimChar"/>
        </w:rPr>
        <w:t>├── testing/          run_extraction  render_prompts  prompts/</w:t>
      </w:r>
      <w:r>
        <w:br/>
      </w:r>
      <w:r>
        <w:rPr>
          <w:rStyle w:val="VerbatimChar"/>
        </w:rPr>
        <w:t>├── pilot/            zero_shot_baseline  smoke_test  pilot_run</w:t>
      </w:r>
      <w:r>
        <w:br/>
      </w:r>
      <w:r>
        <w:rPr>
          <w:rStyle w:val="VerbatimChar"/>
        </w:rPr>
        <w:t>│                     pilot_report</w:t>
      </w:r>
      <w:r>
        <w:br/>
      </w:r>
      <w:r>
        <w:rPr>
          <w:rStyle w:val="VerbatimChar"/>
        </w:rPr>
        <w:t>└── tests/            45 test modules; fixtures/ (synthetic, no PII)</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padding-free, gradient checkpointing; single H200 SXM 141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