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Frequently asked questions</w:t>
      </w:r>
    </w:p>
    <w:p>
      <w:pPr>
        <w:pStyle w:val="Subtitle"/>
      </w:pPr>
      <w:r>
        <w:t xml:space="preserve">PPWR, the screening tool, the passport, and what the tool is not · Version 1.1 · 14 September 2026</w:t>
      </w:r>
    </w:p>
    <w:p>
      <w:pPr>
        <w:pStyle w:val="Heading1"/>
      </w:pPr>
      <w:r>
        <w:t xml:space="preserve">1. About the regulation — PPWR</w:t>
      </w:r>
    </w:p>
    <w:p>
      <w:pPr>
        <w:spacing w:after="40" w:before="160"/>
      </w:pPr>
      <w:r>
        <w:rPr>
          <w:b/>
          <w:bCs/>
          <w:color w:val="1A1C3C"/>
        </w:rPr>
        <w:t xml:space="preserve">What is the PPWR?</w:t>
      </w:r>
    </w:p>
    <w:p>
      <w:pPr>
        <w:spacing w:after="100"/>
      </w:pPr>
      <w:r>
        <w:t xml:space="preserve">Regulation (EU) 2025/40, the Packaging and Packaging Waste Regulation. It replaces Directive 94/62/EC and applies directly in all 27 Member States without national transposition. It entered into force on 11 February 2025 and applies from 12 August 2026. It covers all packaging placed on the EU market, whatever the material, whoever made it, and wherever it was made — including packaging that travels around goods exported to the EU.</w:t>
      </w:r>
    </w:p>
    <w:p>
      <w:pPr>
        <w:spacing w:after="40" w:before="160"/>
      </w:pPr>
      <w:r>
        <w:rPr>
          <w:b/>
          <w:bCs/>
          <w:color w:val="1A1C3C"/>
        </w:rPr>
        <w:t xml:space="preserve">What applies now, and what comes later?</w:t>
      </w:r>
    </w:p>
    <w:tbl>
      <w:tblPr>
        <w:tblW w:type="dxa" w:w="9000"/>
        <w:tblBorders>
          <w:top w:val="single" w:color="E6E6E9" w:sz="4"/>
          <w:left w:val="none"/>
          <w:bottom w:val="single" w:color="E6E6E9" w:sz="4"/>
          <w:right w:val="none"/>
          <w:insideH w:val="single" w:color="E6E6E9" w:sz="4"/>
          <w:insideV w:val="none"/>
        </w:tblBorders>
      </w:tblPr>
      <w:tblGrid>
        <w:gridCol w:w="4400"/>
        <w:gridCol w:w="2200"/>
        <w:gridCol w:w="2400"/>
      </w:tblGrid>
      <w:tr>
        <w:trPr>
          <w:tblHeader/>
        </w:trPr>
        <w:tc>
          <w:tcPr>
            <w:tcW w:type="dxa" w:w="4400"/>
            <w:shd w:fill="04524E" w:color="auto" w:val="clear"/>
            <w:tcMar>
              <w:top w:type="dxa" w:w="60"/>
              <w:left w:type="dxa" w:w="100"/>
              <w:bottom w:type="dxa" w:w="60"/>
              <w:right w:type="dxa" w:w="100"/>
            </w:tcMar>
          </w:tcPr>
          <w:p>
            <w:pPr>
              <w:spacing w:after="0"/>
            </w:pPr>
            <w:r>
              <w:rPr>
                <w:b/>
                <w:bCs/>
                <w:color w:val="FFFFFF"/>
                <w:sz w:val="19"/>
                <w:szCs w:val="19"/>
              </w:rPr>
              <w:t xml:space="preserve">Obligation</w:t>
            </w:r>
          </w:p>
        </w:tc>
        <w:tc>
          <w:tcPr>
            <w:tcW w:type="dxa" w:w="2200"/>
            <w:shd w:fill="04524E" w:color="auto" w:val="clear"/>
            <w:tcMar>
              <w:top w:type="dxa" w:w="60"/>
              <w:left w:type="dxa" w:w="100"/>
              <w:bottom w:type="dxa" w:w="60"/>
              <w:right w:type="dxa" w:w="100"/>
            </w:tcMar>
          </w:tcPr>
          <w:p>
            <w:pPr>
              <w:spacing w:after="0"/>
            </w:pPr>
            <w:r>
              <w:rPr>
                <w:b/>
                <w:bCs/>
                <w:color w:val="FFFFFF"/>
                <w:sz w:val="19"/>
                <w:szCs w:val="19"/>
              </w:rPr>
              <w:t xml:space="preserve">Legal basis</w:t>
            </w:r>
          </w:p>
        </w:tc>
        <w:tc>
          <w:tcPr>
            <w:tcW w:type="dxa" w:w="2400"/>
            <w:shd w:fill="04524E" w:color="auto" w:val="clear"/>
            <w:tcMar>
              <w:top w:type="dxa" w:w="60"/>
              <w:left w:type="dxa" w:w="100"/>
              <w:bottom w:type="dxa" w:w="60"/>
              <w:right w:type="dxa" w:w="100"/>
            </w:tcMar>
          </w:tcPr>
          <w:p>
            <w:pPr>
              <w:spacing w:after="0"/>
            </w:pPr>
            <w:r>
              <w:rPr>
                <w:b/>
                <w:bCs/>
                <w:color w:val="FFFFFF"/>
                <w:sz w:val="19"/>
                <w:szCs w:val="19"/>
              </w:rPr>
              <w:t xml:space="preserve">Applies from</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Heavy-metals limit: Pb + Cd + Hg + Cr(VI) ≤ 100 mg/kg per component</w:t>
            </w:r>
          </w:p>
        </w:tc>
        <w:tc>
          <w:tcPr>
            <w:tcW w:type="dxa" w:w="2200"/>
            <w:tcMar>
              <w:top w:type="dxa" w:w="60"/>
              <w:left w:type="dxa" w:w="100"/>
              <w:bottom w:type="dxa" w:w="60"/>
              <w:right w:type="dxa" w:w="100"/>
            </w:tcMar>
          </w:tcPr>
          <w:p>
            <w:pPr>
              <w:spacing w:after="0"/>
            </w:pPr>
            <w:r>
              <w:rPr>
                <w:b w:val="false"/>
                <w:bCs w:val="false"/>
                <w:color w:val="343551"/>
                <w:sz w:val="19"/>
                <w:szCs w:val="19"/>
              </w:rPr>
              <w:t xml:space="preserve">Art. 5(4)</w:t>
            </w:r>
          </w:p>
        </w:tc>
        <w:tc>
          <w:tcPr>
            <w:tcW w:type="dxa" w:w="2400"/>
            <w:tcMar>
              <w:top w:type="dxa" w:w="60"/>
              <w:left w:type="dxa" w:w="100"/>
              <w:bottom w:type="dxa" w:w="60"/>
              <w:right w:type="dxa" w:w="100"/>
            </w:tcMar>
          </w:tcPr>
          <w:p>
            <w:pPr>
              <w:spacing w:after="0"/>
            </w:pPr>
            <w:r>
              <w:rPr>
                <w:b w:val="false"/>
                <w:bCs w:val="false"/>
                <w:color w:val="343551"/>
                <w:sz w:val="19"/>
                <w:szCs w:val="19"/>
              </w:rPr>
              <w:t xml:space="preserve">12 Aug 2026</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PFAS limits in food-contact packaging (25 ppb single / 250 ppb sum / 50 ppm total organic fluorine)</w:t>
            </w:r>
          </w:p>
        </w:tc>
        <w:tc>
          <w:tcPr>
            <w:tcW w:type="dxa" w:w="2200"/>
            <w:tcMar>
              <w:top w:type="dxa" w:w="60"/>
              <w:left w:type="dxa" w:w="100"/>
              <w:bottom w:type="dxa" w:w="60"/>
              <w:right w:type="dxa" w:w="100"/>
            </w:tcMar>
          </w:tcPr>
          <w:p>
            <w:pPr>
              <w:spacing w:after="0"/>
            </w:pPr>
            <w:r>
              <w:rPr>
                <w:b w:val="false"/>
                <w:bCs w:val="false"/>
                <w:color w:val="343551"/>
                <w:sz w:val="19"/>
                <w:szCs w:val="19"/>
              </w:rPr>
              <w:t xml:space="preserve">Art. 5(5)</w:t>
            </w:r>
          </w:p>
        </w:tc>
        <w:tc>
          <w:tcPr>
            <w:tcW w:type="dxa" w:w="2400"/>
            <w:tcMar>
              <w:top w:type="dxa" w:w="60"/>
              <w:left w:type="dxa" w:w="100"/>
              <w:bottom w:type="dxa" w:w="60"/>
              <w:right w:type="dxa" w:w="100"/>
            </w:tcMar>
          </w:tcPr>
          <w:p>
            <w:pPr>
              <w:spacing w:after="0"/>
            </w:pPr>
            <w:r>
              <w:rPr>
                <w:b w:val="false"/>
                <w:bCs w:val="false"/>
                <w:color w:val="343551"/>
                <w:sz w:val="19"/>
                <w:szCs w:val="19"/>
              </w:rPr>
              <w:t xml:space="preserve">12 Aug 2026</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Substances-of-concern minimisation</w:t>
            </w:r>
          </w:p>
        </w:tc>
        <w:tc>
          <w:tcPr>
            <w:tcW w:type="dxa" w:w="2200"/>
            <w:tcMar>
              <w:top w:type="dxa" w:w="60"/>
              <w:left w:type="dxa" w:w="100"/>
              <w:bottom w:type="dxa" w:w="60"/>
              <w:right w:type="dxa" w:w="100"/>
            </w:tcMar>
          </w:tcPr>
          <w:p>
            <w:pPr>
              <w:spacing w:after="0"/>
            </w:pPr>
            <w:r>
              <w:rPr>
                <w:b w:val="false"/>
                <w:bCs w:val="false"/>
                <w:color w:val="343551"/>
                <w:sz w:val="19"/>
                <w:szCs w:val="19"/>
              </w:rPr>
              <w:t xml:space="preserve">Art. 5(1)</w:t>
            </w:r>
          </w:p>
        </w:tc>
        <w:tc>
          <w:tcPr>
            <w:tcW w:type="dxa" w:w="2400"/>
            <w:tcMar>
              <w:top w:type="dxa" w:w="60"/>
              <w:left w:type="dxa" w:w="100"/>
              <w:bottom w:type="dxa" w:w="60"/>
              <w:right w:type="dxa" w:w="100"/>
            </w:tcMar>
          </w:tcPr>
          <w:p>
            <w:pPr>
              <w:spacing w:after="0"/>
            </w:pPr>
            <w:r>
              <w:rPr>
                <w:b w:val="false"/>
                <w:bCs w:val="false"/>
                <w:color w:val="343551"/>
                <w:sz w:val="19"/>
                <w:szCs w:val="19"/>
              </w:rPr>
              <w:t xml:space="preserve">12 Aug 2026</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Technical documentation (Module A, internal production control)</w:t>
            </w:r>
          </w:p>
        </w:tc>
        <w:tc>
          <w:tcPr>
            <w:tcW w:type="dxa" w:w="2200"/>
            <w:tcMar>
              <w:top w:type="dxa" w:w="60"/>
              <w:left w:type="dxa" w:w="100"/>
              <w:bottom w:type="dxa" w:w="60"/>
              <w:right w:type="dxa" w:w="100"/>
            </w:tcMar>
          </w:tcPr>
          <w:p>
            <w:pPr>
              <w:spacing w:after="0"/>
            </w:pPr>
            <w:r>
              <w:rPr>
                <w:b w:val="false"/>
                <w:bCs w:val="false"/>
                <w:color w:val="343551"/>
                <w:sz w:val="19"/>
                <w:szCs w:val="19"/>
              </w:rPr>
              <w:t xml:space="preserve">Art. 15(1), Art. 38, Annex VII</w:t>
            </w:r>
          </w:p>
        </w:tc>
        <w:tc>
          <w:tcPr>
            <w:tcW w:type="dxa" w:w="2400"/>
            <w:tcMar>
              <w:top w:type="dxa" w:w="60"/>
              <w:left w:type="dxa" w:w="100"/>
              <w:bottom w:type="dxa" w:w="60"/>
              <w:right w:type="dxa" w:w="100"/>
            </w:tcMar>
          </w:tcPr>
          <w:p>
            <w:pPr>
              <w:spacing w:after="0"/>
            </w:pPr>
            <w:r>
              <w:rPr>
                <w:b w:val="false"/>
                <w:bCs w:val="false"/>
                <w:color w:val="343551"/>
                <w:sz w:val="19"/>
                <w:szCs w:val="19"/>
              </w:rPr>
              <w:t xml:space="preserve">12 Aug 2026</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EU Declaration of Conformity, retained 5 yrs (single-use) / 10 yrs (reusable)</w:t>
            </w:r>
          </w:p>
        </w:tc>
        <w:tc>
          <w:tcPr>
            <w:tcW w:type="dxa" w:w="2200"/>
            <w:tcMar>
              <w:top w:type="dxa" w:w="60"/>
              <w:left w:type="dxa" w:w="100"/>
              <w:bottom w:type="dxa" w:w="60"/>
              <w:right w:type="dxa" w:w="100"/>
            </w:tcMar>
          </w:tcPr>
          <w:p>
            <w:pPr>
              <w:spacing w:after="0"/>
            </w:pPr>
            <w:r>
              <w:rPr>
                <w:b w:val="false"/>
                <w:bCs w:val="false"/>
                <w:color w:val="343551"/>
                <w:sz w:val="19"/>
                <w:szCs w:val="19"/>
              </w:rPr>
              <w:t xml:space="preserve">Art. 39, Annex VIII</w:t>
            </w:r>
          </w:p>
        </w:tc>
        <w:tc>
          <w:tcPr>
            <w:tcW w:type="dxa" w:w="2400"/>
            <w:tcMar>
              <w:top w:type="dxa" w:w="60"/>
              <w:left w:type="dxa" w:w="100"/>
              <w:bottom w:type="dxa" w:w="60"/>
              <w:right w:type="dxa" w:w="100"/>
            </w:tcMar>
          </w:tcPr>
          <w:p>
            <w:pPr>
              <w:spacing w:after="0"/>
            </w:pPr>
            <w:r>
              <w:rPr>
                <w:b w:val="false"/>
                <w:bCs w:val="false"/>
                <w:color w:val="343551"/>
                <w:sz w:val="19"/>
                <w:szCs w:val="19"/>
              </w:rPr>
              <w:t xml:space="preserve">12 Aug 2026</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Manufacturer and importer identification on the packaging</w:t>
            </w:r>
          </w:p>
        </w:tc>
        <w:tc>
          <w:tcPr>
            <w:tcW w:type="dxa" w:w="2200"/>
            <w:tcMar>
              <w:top w:type="dxa" w:w="60"/>
              <w:left w:type="dxa" w:w="100"/>
              <w:bottom w:type="dxa" w:w="60"/>
              <w:right w:type="dxa" w:w="100"/>
            </w:tcMar>
          </w:tcPr>
          <w:p>
            <w:pPr>
              <w:spacing w:after="0"/>
            </w:pPr>
            <w:r>
              <w:rPr>
                <w:b w:val="false"/>
                <w:bCs w:val="false"/>
                <w:color w:val="343551"/>
                <w:sz w:val="19"/>
                <w:szCs w:val="19"/>
              </w:rPr>
              <w:t xml:space="preserve">Art. 15(5)–(6), Art. 18(3)</w:t>
            </w:r>
          </w:p>
        </w:tc>
        <w:tc>
          <w:tcPr>
            <w:tcW w:type="dxa" w:w="2400"/>
            <w:tcMar>
              <w:top w:type="dxa" w:w="60"/>
              <w:left w:type="dxa" w:w="100"/>
              <w:bottom w:type="dxa" w:w="60"/>
              <w:right w:type="dxa" w:w="100"/>
            </w:tcMar>
          </w:tcPr>
          <w:p>
            <w:pPr>
              <w:spacing w:after="0"/>
            </w:pPr>
            <w:r>
              <w:rPr>
                <w:b w:val="false"/>
                <w:bCs w:val="false"/>
                <w:color w:val="343551"/>
                <w:sz w:val="19"/>
                <w:szCs w:val="19"/>
              </w:rPr>
              <w:t xml:space="preserve">12 Aug 2026</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Producer registration in each Member State of first placing; authorised representative where required</w:t>
            </w:r>
          </w:p>
        </w:tc>
        <w:tc>
          <w:tcPr>
            <w:tcW w:type="dxa" w:w="2200"/>
            <w:tcMar>
              <w:top w:type="dxa" w:w="60"/>
              <w:left w:type="dxa" w:w="100"/>
              <w:bottom w:type="dxa" w:w="60"/>
              <w:right w:type="dxa" w:w="100"/>
            </w:tcMar>
          </w:tcPr>
          <w:p>
            <w:pPr>
              <w:spacing w:after="0"/>
            </w:pPr>
            <w:r>
              <w:rPr>
                <w:b w:val="false"/>
                <w:bCs w:val="false"/>
                <w:color w:val="343551"/>
                <w:sz w:val="19"/>
                <w:szCs w:val="19"/>
              </w:rPr>
              <w:t xml:space="preserve">Arts. 44–45</w:t>
            </w:r>
          </w:p>
        </w:tc>
        <w:tc>
          <w:tcPr>
            <w:tcW w:type="dxa" w:w="2400"/>
            <w:tcMar>
              <w:top w:type="dxa" w:w="60"/>
              <w:left w:type="dxa" w:w="100"/>
              <w:bottom w:type="dxa" w:w="60"/>
              <w:right w:type="dxa" w:w="100"/>
            </w:tcMar>
          </w:tcPr>
          <w:p>
            <w:pPr>
              <w:spacing w:after="0"/>
            </w:pPr>
            <w:r>
              <w:rPr>
                <w:b w:val="false"/>
                <w:bCs w:val="false"/>
                <w:color w:val="343551"/>
                <w:sz w:val="19"/>
                <w:szCs w:val="19"/>
              </w:rPr>
              <w:t xml:space="preserve">12 Aug 2026</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Green-claims substantiation (via Directive 2024/825, national transposition)</w:t>
            </w:r>
          </w:p>
        </w:tc>
        <w:tc>
          <w:tcPr>
            <w:tcW w:type="dxa" w:w="2200"/>
            <w:tcMar>
              <w:top w:type="dxa" w:w="60"/>
              <w:left w:type="dxa" w:w="100"/>
              <w:bottom w:type="dxa" w:w="60"/>
              <w:right w:type="dxa" w:w="100"/>
            </w:tcMar>
          </w:tcPr>
          <w:p>
            <w:pPr>
              <w:spacing w:after="0"/>
            </w:pPr>
            <w:r>
              <w:rPr>
                <w:b w:val="false"/>
                <w:bCs w:val="false"/>
                <w:color w:val="343551"/>
                <w:sz w:val="19"/>
                <w:szCs w:val="19"/>
              </w:rPr>
              <w:t xml:space="preserve">Dir. 2024/825, Annex I pts 2a, 4a, 4b</w:t>
            </w:r>
          </w:p>
        </w:tc>
        <w:tc>
          <w:tcPr>
            <w:tcW w:type="dxa" w:w="2400"/>
            <w:tcMar>
              <w:top w:type="dxa" w:w="60"/>
              <w:left w:type="dxa" w:w="100"/>
              <w:bottom w:type="dxa" w:w="60"/>
              <w:right w:type="dxa" w:w="100"/>
            </w:tcMar>
          </w:tcPr>
          <w:p>
            <w:pPr>
              <w:spacing w:after="0"/>
            </w:pPr>
            <w:r>
              <w:rPr>
                <w:b w:val="false"/>
                <w:bCs w:val="false"/>
                <w:color w:val="343551"/>
                <w:sz w:val="19"/>
                <w:szCs w:val="19"/>
              </w:rPr>
              <w:t xml:space="preserve">27 Sep 2026</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Recyclability grades A/B/C by weight; grade C phased out 2038</w:t>
            </w:r>
          </w:p>
        </w:tc>
        <w:tc>
          <w:tcPr>
            <w:tcW w:type="dxa" w:w="2200"/>
            <w:tcMar>
              <w:top w:type="dxa" w:w="60"/>
              <w:left w:type="dxa" w:w="100"/>
              <w:bottom w:type="dxa" w:w="60"/>
              <w:right w:type="dxa" w:w="100"/>
            </w:tcMar>
          </w:tcPr>
          <w:p>
            <w:pPr>
              <w:spacing w:after="0"/>
            </w:pPr>
            <w:r>
              <w:rPr>
                <w:b w:val="false"/>
                <w:bCs w:val="false"/>
                <w:color w:val="343551"/>
                <w:sz w:val="19"/>
                <w:szCs w:val="19"/>
              </w:rPr>
              <w:t xml:space="preserve">Art. 6, Annex II</w:t>
            </w:r>
          </w:p>
        </w:tc>
        <w:tc>
          <w:tcPr>
            <w:tcW w:type="dxa" w:w="2400"/>
            <w:tcMar>
              <w:top w:type="dxa" w:w="60"/>
              <w:left w:type="dxa" w:w="100"/>
              <w:bottom w:type="dxa" w:w="60"/>
              <w:right w:type="dxa" w:w="100"/>
            </w:tcMar>
          </w:tcPr>
          <w:p>
            <w:pPr>
              <w:spacing w:after="0"/>
            </w:pPr>
            <w:r>
              <w:rPr>
                <w:b w:val="false"/>
                <w:bCs w:val="false"/>
                <w:color w:val="343551"/>
                <w:sz w:val="19"/>
                <w:szCs w:val="19"/>
              </w:rPr>
              <w:t xml:space="preserve">1 Jan 2030 (or 24 months after delegated acts)</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Minimum recycled content in plastic packaging (30/10/30/35 % by category; higher from 2040)</w:t>
            </w:r>
          </w:p>
        </w:tc>
        <w:tc>
          <w:tcPr>
            <w:tcW w:type="dxa" w:w="2200"/>
            <w:tcMar>
              <w:top w:type="dxa" w:w="60"/>
              <w:left w:type="dxa" w:w="100"/>
              <w:bottom w:type="dxa" w:w="60"/>
              <w:right w:type="dxa" w:w="100"/>
            </w:tcMar>
          </w:tcPr>
          <w:p>
            <w:pPr>
              <w:spacing w:after="0"/>
            </w:pPr>
            <w:r>
              <w:rPr>
                <w:b w:val="false"/>
                <w:bCs w:val="false"/>
                <w:color w:val="343551"/>
                <w:sz w:val="19"/>
                <w:szCs w:val="19"/>
              </w:rPr>
              <w:t xml:space="preserve">Art. 7</w:t>
            </w:r>
          </w:p>
        </w:tc>
        <w:tc>
          <w:tcPr>
            <w:tcW w:type="dxa" w:w="2400"/>
            <w:tcMar>
              <w:top w:type="dxa" w:w="60"/>
              <w:left w:type="dxa" w:w="100"/>
              <w:bottom w:type="dxa" w:w="60"/>
              <w:right w:type="dxa" w:w="100"/>
            </w:tcMar>
          </w:tcPr>
          <w:p>
            <w:pPr>
              <w:spacing w:after="0"/>
            </w:pPr>
            <w:r>
              <w:rPr>
                <w:b w:val="false"/>
                <w:bCs w:val="false"/>
                <w:color w:val="343551"/>
                <w:sz w:val="19"/>
                <w:szCs w:val="19"/>
              </w:rPr>
              <w:t xml:space="preserve">1 Jan 2030 (or 3 years after implementing act)</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Harmonised material label and data carrier</w:t>
            </w:r>
          </w:p>
        </w:tc>
        <w:tc>
          <w:tcPr>
            <w:tcW w:type="dxa" w:w="2200"/>
            <w:tcMar>
              <w:top w:type="dxa" w:w="60"/>
              <w:left w:type="dxa" w:w="100"/>
              <w:bottom w:type="dxa" w:w="60"/>
              <w:right w:type="dxa" w:w="100"/>
            </w:tcMar>
          </w:tcPr>
          <w:p>
            <w:pPr>
              <w:spacing w:after="0"/>
            </w:pPr>
            <w:r>
              <w:rPr>
                <w:b w:val="false"/>
                <w:bCs w:val="false"/>
                <w:color w:val="343551"/>
                <w:sz w:val="19"/>
                <w:szCs w:val="19"/>
              </w:rPr>
              <w:t xml:space="preserve">Art. 12</w:t>
            </w:r>
          </w:p>
        </w:tc>
        <w:tc>
          <w:tcPr>
            <w:tcW w:type="dxa" w:w="2400"/>
            <w:tcMar>
              <w:top w:type="dxa" w:w="60"/>
              <w:left w:type="dxa" w:w="100"/>
              <w:bottom w:type="dxa" w:w="60"/>
              <w:right w:type="dxa" w:w="100"/>
            </w:tcMar>
          </w:tcPr>
          <w:p>
            <w:pPr>
              <w:spacing w:after="0"/>
            </w:pPr>
            <w:r>
              <w:rPr>
                <w:b w:val="false"/>
                <w:bCs w:val="false"/>
                <w:color w:val="343551"/>
                <w:sz w:val="19"/>
                <w:szCs w:val="19"/>
              </w:rPr>
              <w:t xml:space="preserve">12 Aug 2028 or 24 months after the implementing act — the act was not adopted by its 12 Aug 2026 deadline</w:t>
            </w:r>
          </w:p>
        </w:tc>
      </w:tr>
    </w:tbl>
    <w:p>
      <w:pPr>
        <w:pBdr>
          <w:left w:val="single" w:color="05A070" w:sz="12" w:space="8"/>
        </w:pBdr>
        <w:spacing w:after="160" w:before="80"/>
        <w:ind w:left="360"/>
      </w:pPr>
      <w:r>
        <w:rPr>
          <w:i/>
          <w:iCs/>
          <w:color w:val="4D4F67"/>
          <w:sz w:val="20"/>
          <w:szCs w:val="20"/>
        </w:rPr>
        <w:t xml:space="preserve">Rules whose trigger date lies in the future are shown by the tool as “Upcoming — applies from …”, never as failures. A 2026 pack is judged by 2026 law.</w:t>
      </w:r>
    </w:p>
    <w:p>
      <w:pPr>
        <w:spacing w:after="40" w:before="160"/>
      </w:pPr>
      <w:r>
        <w:rPr>
          <w:b/>
          <w:bCs/>
          <w:color w:val="1A1C3C"/>
        </w:rPr>
        <w:t xml:space="preserve">Who is the “manufacturer” — and does that include a company outside the EU?</w:t>
      </w:r>
    </w:p>
    <w:p>
      <w:pPr>
        <w:spacing w:after="100"/>
      </w:pPr>
      <w:r>
        <w:t xml:space="preserve">Yes. Under Art. 3(1)(13) the manufacturer is whoever designs or makes packaging, or has it made, and markets it under their own name. Establishment inside the EU is not part of the test. The Commission’s guidance (Notice C(2026) 3702, 5 June 2026, and the FAQ second edition of 1 August 2026) refines this by packaging type: for branded packaging the trademark owner is the manufacturer; for unbranded standardised packaging the physical producer is; for unbranded custom-made packaging, the party that defined the specification is. A non-EU manufacturer draws up the Declaration of Conformity; the EU importer must verify it exists (Art. 18), and an authorised representative may be required.</w:t>
      </w:r>
    </w:p>
    <w:p>
      <w:pPr>
        <w:spacing w:after="40" w:before="160"/>
      </w:pPr>
      <w:r>
        <w:rPr>
          <w:b/>
          <w:bCs/>
          <w:color w:val="1A1C3C"/>
        </w:rPr>
        <w:t xml:space="preserve">Is there a grace period for stock made before 12 August 2026?</w:t>
      </w:r>
    </w:p>
    <w:p>
      <w:pPr>
        <w:spacing w:after="100"/>
      </w:pPr>
      <w:r>
        <w:t xml:space="preserve">No grace period for placing on the market: packaging placed on the EU market on or after 12 August 2026 must comply regardless of when it was manufactured. The Commission FAQ adds transitional relief for stock already placed before that date — it need not be withdrawn, destroyed or relabelled solely because the Regulation became applicable, and missing identification may be provided through accompanying documents.</w:t>
      </w:r>
    </w:p>
    <w:p>
      <w:pPr>
        <w:spacing w:after="40" w:before="160"/>
      </w:pPr>
      <w:r>
        <w:rPr>
          <w:b/>
          <w:bCs/>
          <w:color w:val="1A1C3C"/>
        </w:rPr>
        <w:t xml:space="preserve">Will non-compliant packaging be stopped at the border?</w:t>
      </w:r>
    </w:p>
    <w:p>
      <w:pPr>
        <w:spacing w:after="100"/>
      </w:pPr>
      <w:r>
        <w:t xml:space="preserve">Enforcement is proportionate and corrective-first. Under Art. 62 Member State authorities must first require the operator to remedy a non-compliance before stricter measures such as withdrawal or recall. In practice, the sharper pressure comes from EU customers: their supplier questionnaires and the importer’s duty to verify a Declaration of Conformity exists (Art. 18) are the real gate.</w:t>
      </w:r>
    </w:p>
    <w:p>
      <w:pPr>
        <w:spacing w:after="40" w:before="160"/>
      </w:pPr>
      <w:r>
        <w:rPr>
          <w:b/>
          <w:bCs/>
          <w:color w:val="1A1C3C"/>
        </w:rPr>
        <w:t xml:space="preserve">Is there a public register where Declarations of Conformity are filed?</w:t>
      </w:r>
    </w:p>
    <w:p>
      <w:pPr>
        <w:spacing w:after="100"/>
      </w:pPr>
      <w:r>
        <w:t xml:space="preserve">No. The Declaration and the technical documentation stay with the operator and are produced to authorities on request. What is public in several Member States is producer registration status (for example Germany’s LUCID register can be searched). Nobody can look up a company’s Declaration. This gap is one reason the tool’s passport exists.</w:t>
      </w:r>
    </w:p>
    <w:p>
      <w:pPr>
        <w:spacing w:after="40" w:before="160"/>
      </w:pPr>
      <w:r>
        <w:rPr>
          <w:b/>
          <w:bCs/>
          <w:color w:val="1A1C3C"/>
        </w:rPr>
        <w:t xml:space="preserve">Does the tool cover India as well?</w:t>
      </w:r>
    </w:p>
    <w:p>
      <w:pPr>
        <w:spacing w:after="100"/>
      </w:pPr>
      <w:r>
        <w:t xml:space="preserve">Yes. The corpus includes the Plastic Waste Management Rules 2016 as consolidated through G.S.R. 237(E) of 31 March 2026: the five packaging categories (Category V, biodegradable, added in 2024), the recycled-content schedule (Category I: 30 / 40 / 50 / 60 % across FY 2025-26 to 2028-29), EPR registration on the CPCB portal, EPR and recycling targets, carry-bag thickness, the single-use plastics list, and marking under Rule 11 — including the 2025 option to provide Rule 11(1) information via a QR code, brochure or unique number. QR codes are one permitted route, not a universal mandate.</w:t>
      </w:r>
    </w:p>
    <w:p>
      <w:pPr>
        <w:pStyle w:val="Heading1"/>
      </w:pPr>
      <w:r>
        <w:t xml:space="preserve">2. About the tool</w:t>
      </w:r>
    </w:p>
    <w:p>
      <w:pPr>
        <w:spacing w:after="40" w:before="160"/>
      </w:pPr>
      <w:r>
        <w:rPr>
          <w:b/>
          <w:bCs/>
          <w:color w:val="1A1C3C"/>
        </w:rPr>
        <w:t xml:space="preserve">What is this tool?</w:t>
      </w:r>
    </w:p>
    <w:p>
      <w:pPr>
        <w:spacing w:after="100"/>
      </w:pPr>
      <w:r>
        <w:t xml:space="preserve">A qualification screening and evidence assembly engine for packaging compliance. You describe the shipment context (destination markets, food contact, reusability, role facts), enter the packaging bill of materials with weights, origin and suppliers, and attach the evidence you hold. The engine evaluates every applicable rule and returns a verdict per rule — Qualified, Conditional, Gap, Not applicable or Upcoming — with the reason, the evidence relied on, and the legal citation. Gaps come back as actions: who needs to provide what, with the request letter to send them.</w:t>
      </w:r>
    </w:p>
    <w:p>
      <w:pPr>
        <w:spacing w:after="40" w:before="160"/>
      </w:pPr>
      <w:r>
        <w:rPr>
          <w:b/>
          <w:bCs/>
          <w:color w:val="1A1C3C"/>
        </w:rPr>
        <w:t xml:space="preserve">Where do the rules come from?</w:t>
      </w:r>
    </w:p>
    <w:p>
      <w:pPr>
        <w:spacing w:after="100"/>
      </w:pPr>
      <w:r>
        <w:t xml:space="preserve">From a governed corpus. Every rule (“checkpoint”) is cited to primary law at article level — EUR-Lex, the Official Journal, national gazettes, the CPCB gazette copies — and enters force only after a named regulatory owner has approved it and separately verified the citation against the primary text. Approval and verification are human-only actions; no automated process can promote a rule. At the time of writing the corpus holds 29 rules in force across three releases (batch-1, batch-2-eu, batch-2-in), each reproducible: a report records the corpus release it was evaluated against and re-renders identically later.</w:t>
      </w:r>
    </w:p>
    <w:p>
      <w:pPr>
        <w:spacing w:after="40" w:before="160"/>
      </w:pPr>
      <w:r>
        <w:rPr>
          <w:b/>
          <w:bCs/>
          <w:color w:val="1A1C3C"/>
        </w:rPr>
        <w:t xml:space="preserve">What is the expected outcome of a screening?</w:t>
      </w:r>
    </w:p>
    <w:p>
      <w:pPr>
        <w:pStyle w:val="ListParagraph"/>
        <w:numPr>
          <w:ilvl w:val="0"/>
          <w:numId w:val="2"/>
        </w:numPr>
        <w:spacing w:after="60"/>
      </w:pPr>
      <w:r>
        <w:t xml:space="preserve">A per-rule verdict table for each component, the packaging unit and the organisation, with plain-language reasons and primary-source links.</w:t>
      </w:r>
    </w:p>
    <w:p>
      <w:pPr>
        <w:pStyle w:val="ListParagraph"/>
        <w:numPr>
          <w:ilvl w:val="0"/>
          <w:numId w:val="2"/>
        </w:numPr>
        <w:spacing w:after="60"/>
      </w:pPr>
      <w:r>
        <w:t xml:space="preserve">A gap register: for every Conditional or Gap verdict, the evidence type that would close it, who issues that evidence, and what it must contain.</w:t>
      </w:r>
    </w:p>
    <w:p>
      <w:pPr>
        <w:pStyle w:val="ListParagraph"/>
        <w:numPr>
          <w:ilvl w:val="0"/>
          <w:numId w:val="2"/>
        </w:numPr>
        <w:spacing w:after="60"/>
      </w:pPr>
      <w:r>
        <w:t xml:space="preserve">Request templates (.docx) — supplier self-declaration request and laboratory test request — populated with the rule’s threshold and method, for you to send.</w:t>
      </w:r>
    </w:p>
    <w:p>
      <w:pPr>
        <w:pStyle w:val="ListParagraph"/>
        <w:numPr>
          <w:ilvl w:val="0"/>
          <w:numId w:val="2"/>
        </w:numPr>
        <w:spacing w:after="60"/>
      </w:pPr>
      <w:r>
        <w:t xml:space="preserve">A magic-link intake so suppliers upload documents directly against a specific gap; uploaded documents are read by the extraction service and every extracted value is confirmed by a human before it counts.</w:t>
      </w:r>
    </w:p>
    <w:p>
      <w:pPr>
        <w:pStyle w:val="ListParagraph"/>
        <w:numPr>
          <w:ilvl w:val="0"/>
          <w:numId w:val="2"/>
        </w:numPr>
        <w:spacing w:after="60"/>
      </w:pPr>
      <w:r>
        <w:t xml:space="preserve">A draft EU Declaration of Conformity (.docx + PDF), assembled from the technical file and watermarked DRAFT, available only when every applicable in-force rule is Qualified and the manufacturer role is unambiguous. You complete and sign it.</w:t>
      </w:r>
    </w:p>
    <w:p>
      <w:pPr>
        <w:pStyle w:val="ListParagraph"/>
        <w:numPr>
          <w:ilvl w:val="0"/>
          <w:numId w:val="2"/>
        </w:numPr>
        <w:spacing w:after="60"/>
      </w:pPr>
      <w:r>
        <w:t xml:space="preserve">A public passport page per packaging unit with a QR code.</w:t>
      </w:r>
    </w:p>
    <w:p>
      <w:pPr>
        <w:pStyle w:val="ListParagraph"/>
        <w:numPr>
          <w:ilvl w:val="0"/>
          <w:numId w:val="2"/>
        </w:numPr>
        <w:spacing w:after="60"/>
      </w:pPr>
      <w:r>
        <w:t xml:space="preserve">A screening-grade cradle-to-gate carbon footprint, with the emission factor source, region and year shown per component; where a recycled share is declared and a closed-loop factor exists for the material, the factor is blended and both sources are shown.</w:t>
      </w:r>
    </w:p>
    <w:p>
      <w:pPr>
        <w:spacing w:after="40" w:before="160"/>
      </w:pPr>
      <w:r>
        <w:rPr>
          <w:b/>
          <w:bCs/>
          <w:color w:val="1A1C3C"/>
        </w:rPr>
        <w:t xml:space="preserve">How does the tool read supplier documents?</w:t>
      </w:r>
    </w:p>
    <w:p>
      <w:pPr>
        <w:spacing w:after="100"/>
      </w:pPr>
      <w:r>
        <w:t xml:space="preserve">Uploaded PDFs and images are processed by a document-extraction service built on Anthropic’s Claude models. The model extracts structured claims (parameter, value, unit, method, issuer, dates, scope, and the verbatim snippet it read them from); a deterministic validator rejects values of the wrong type; image-only documents are read twice and disagreements are withheld rather than guessed; and no extracted value affects a verdict until a named person confirms it. On the synthetic test set the pipeline has produced zero silent errors across every clean run; field accuracy is measured and published in the project plan rather than claimed.</w:t>
      </w:r>
    </w:p>
    <w:p>
      <w:pPr>
        <w:pStyle w:val="Heading1"/>
      </w:pPr>
      <w:r>
        <w:t xml:space="preserve">3. The passport</w:t>
      </w:r>
    </w:p>
    <w:p>
      <w:pPr>
        <w:spacing w:after="40" w:before="160"/>
      </w:pPr>
      <w:r>
        <w:rPr>
          <w:b/>
          <w:bCs/>
          <w:color w:val="1A1C3C"/>
        </w:rPr>
        <w:t xml:space="preserve">What is the packaging passport?</w:t>
      </w:r>
    </w:p>
    <w:p>
      <w:pPr>
        <w:spacing w:after="100"/>
      </w:pPr>
      <w:r>
        <w:t xml:space="preserve">A public web page, reached by a QR code, describing one packaging unit: who declared it (legal name, country, role, EPR registration numbers), what it is made of (each component’s material, mass, country of origin, producer and recycled share), which rules apply and their status, who attested each piece of evidence (issuer name and type; accreditation reference for laboratories), the key measured value where one exists, who verified each rule against the law and when, the corpus release used, and a screening-grade footprint with named factor sources. Each version is hash-chained and time-stamped.</w:t>
      </w:r>
    </w:p>
    <w:p>
      <w:pPr>
        <w:spacing w:after="40" w:before="160"/>
      </w:pPr>
      <w:r>
        <w:rPr>
          <w:b/>
          <w:bCs/>
          <w:color w:val="1A1C3C"/>
        </w:rPr>
        <w:t xml:space="preserve">What is public and what is not?</w:t>
      </w:r>
    </w:p>
    <w:p>
      <w:pPr>
        <w:spacing w:after="100"/>
      </w:pPr>
      <w:r>
        <w:t xml:space="preserve">The rule is: identity and outcome are public; narrative, contact routes and raw documents are not. Public: declarant identity and registrations, component composition and origin, producer names, evidence issuers and references, verdicts, verifiers, footprint results and source names. Not public: document bodies, contact details, registered addresses, the assessor’s risk rationale, delta-action wording, and factor values where a dataset licence does not permit republication.</w:t>
      </w:r>
    </w:p>
    <w:p>
      <w:pPr>
        <w:spacing w:after="40" w:before="160"/>
      </w:pPr>
      <w:r>
        <w:rPr>
          <w:b/>
          <w:bCs/>
          <w:color w:val="1A1C3C"/>
        </w:rPr>
        <w:t xml:space="preserve">Is this a Digital Product Passport under the ESPR?</w:t>
      </w:r>
    </w:p>
    <w:p>
      <w:pPr>
        <w:spacing w:after="100"/>
      </w:pPr>
      <w:r>
        <w:t xml:space="preserve">Not yet, and it does not claim to be. The ESPR (Regulation 2024/1781) DPP applies product group by product group through delegated acts; batteries are first, from 18 February 2027. Packaging is on a 2028 horizon: PPWR Art. 12 introduces data carriers for packaging information, and the Commission has signalled a packaging DPP in the 2028 timeline, but the act does not yet exist. What does exist is the technical rulebook: CEN/CENELEC published the six core DPP system standards (EN 18216, 18219, 18220, 18221, 18222, 18223) on 27 May 2026, and the Commission cited them as harmonised standards on 15 July 2026. The passport is being aligned to that architecture — resolvable identifiers, data carriers, role-based access, signed content, machine-readable retrieval — so that when the packaging act arrives the data model already fits.</w:t>
      </w:r>
    </w:p>
    <w:p>
      <w:pPr>
        <w:spacing w:after="40" w:before="160"/>
      </w:pPr>
      <w:r>
        <w:rPr>
          <w:b/>
          <w:bCs/>
          <w:color w:val="1A1C3C"/>
        </w:rPr>
        <w:t xml:space="preserve">Why show who issued each piece of evidence?</w:t>
      </w:r>
    </w:p>
    <w:p>
      <w:pPr>
        <w:spacing w:after="100"/>
      </w:pPr>
      <w:r>
        <w:t xml:space="preserve">Because a verification that is not attributable is not a verification. An accredited laboratory exists to stand behind its results; its name, accreditation number and the fact of a report are public by nature. The passport shows the attestation; it never shows the report itself.</w:t>
      </w:r>
    </w:p>
    <w:p>
      <w:pPr>
        <w:pStyle w:val="Heading1"/>
      </w:pPr>
      <w:r>
        <w:t xml:space="preserve">4. Standards and sources the tool relies on</w:t>
      </w:r>
    </w:p>
    <w:tbl>
      <w:tblPr>
        <w:tblW w:type="dxa" w:w="9000"/>
        <w:tblBorders>
          <w:top w:val="single" w:color="E6E6E9" w:sz="4"/>
          <w:left w:val="none"/>
          <w:bottom w:val="single" w:color="E6E6E9" w:sz="4"/>
          <w:right w:val="none"/>
          <w:insideH w:val="single" w:color="E6E6E9" w:sz="4"/>
          <w:insideV w:val="none"/>
        </w:tblBorders>
      </w:tblPr>
      <w:tblGrid>
        <w:gridCol w:w="4400"/>
        <w:gridCol w:w="4600"/>
      </w:tblGrid>
      <w:tr>
        <w:trPr>
          <w:tblHeader/>
        </w:trPr>
        <w:tc>
          <w:tcPr>
            <w:tcW w:type="dxa" w:w="4400"/>
            <w:shd w:fill="04524E" w:color="auto" w:val="clear"/>
            <w:tcMar>
              <w:top w:type="dxa" w:w="60"/>
              <w:left w:type="dxa" w:w="100"/>
              <w:bottom w:type="dxa" w:w="60"/>
              <w:right w:type="dxa" w:w="100"/>
            </w:tcMar>
          </w:tcPr>
          <w:p>
            <w:pPr>
              <w:spacing w:after="0"/>
            </w:pPr>
            <w:r>
              <w:rPr>
                <w:b/>
                <w:bCs/>
                <w:color w:val="FFFFFF"/>
                <w:sz w:val="19"/>
                <w:szCs w:val="19"/>
              </w:rPr>
              <w:t xml:space="preserve">Reference</w:t>
            </w:r>
          </w:p>
        </w:tc>
        <w:tc>
          <w:tcPr>
            <w:tcW w:type="dxa" w:w="4600"/>
            <w:shd w:fill="04524E" w:color="auto" w:val="clear"/>
            <w:tcMar>
              <w:top w:type="dxa" w:w="60"/>
              <w:left w:type="dxa" w:w="100"/>
              <w:bottom w:type="dxa" w:w="60"/>
              <w:right w:type="dxa" w:w="100"/>
            </w:tcMar>
          </w:tcPr>
          <w:p>
            <w:pPr>
              <w:spacing w:after="0"/>
            </w:pPr>
            <w:r>
              <w:rPr>
                <w:b/>
                <w:bCs/>
                <w:color w:val="FFFFFF"/>
                <w:sz w:val="19"/>
                <w:szCs w:val="19"/>
              </w:rPr>
              <w:t xml:space="preserve">Used for</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Regulation (EU) 2025/40 (PPWR), Arts. 3, 5, 6, 7, 12, 15, 18, 38, 39, 44–45, 62, 71; Annexes II, VII, VIII</w:t>
            </w:r>
          </w:p>
        </w:tc>
        <w:tc>
          <w:tcPr>
            <w:tcW w:type="dxa" w:w="4600"/>
            <w:tcMar>
              <w:top w:type="dxa" w:w="60"/>
              <w:left w:type="dxa" w:w="100"/>
              <w:bottom w:type="dxa" w:w="60"/>
              <w:right w:type="dxa" w:w="100"/>
            </w:tcMar>
          </w:tcPr>
          <w:p>
            <w:pPr>
              <w:spacing w:after="0"/>
            </w:pPr>
            <w:r>
              <w:rPr>
                <w:b w:val="false"/>
                <w:bCs w:val="false"/>
                <w:color w:val="343551"/>
                <w:sz w:val="19"/>
                <w:szCs w:val="19"/>
              </w:rPr>
              <w:t xml:space="preserve">The EU packaging rules; the Annex VIII declaration template (encoded verbatim from EUR-Lex)</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Commission Notice C(2026) 3702 (5 June 2026) and PPWR FAQ 2nd edition (1 Aug 2026)</w:t>
            </w:r>
          </w:p>
        </w:tc>
        <w:tc>
          <w:tcPr>
            <w:tcW w:type="dxa" w:w="4600"/>
            <w:tcMar>
              <w:top w:type="dxa" w:w="60"/>
              <w:left w:type="dxa" w:w="100"/>
              <w:bottom w:type="dxa" w:w="60"/>
              <w:right w:type="dxa" w:w="100"/>
            </w:tcMar>
          </w:tcPr>
          <w:p>
            <w:pPr>
              <w:spacing w:after="0"/>
            </w:pPr>
            <w:r>
              <w:rPr>
                <w:b w:val="false"/>
                <w:bCs w:val="false"/>
                <w:color w:val="343551"/>
                <w:sz w:val="19"/>
                <w:szCs w:val="19"/>
              </w:rPr>
              <w:t xml:space="preserve">Interpretation: manufacturer role, transitional stock, one declaration per unit, language, retention — recorded as non-binding guidance, never as the citation</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Commission Notice C/2026/3084</w:t>
            </w:r>
          </w:p>
        </w:tc>
        <w:tc>
          <w:tcPr>
            <w:tcW w:type="dxa" w:w="4600"/>
            <w:tcMar>
              <w:top w:type="dxa" w:w="60"/>
              <w:left w:type="dxa" w:w="100"/>
              <w:bottom w:type="dxa" w:w="60"/>
              <w:right w:type="dxa" w:w="100"/>
            </w:tcMar>
          </w:tcPr>
          <w:p>
            <w:pPr>
              <w:spacing w:after="0"/>
            </w:pPr>
            <w:r>
              <w:rPr>
                <w:b w:val="false"/>
                <w:bCs w:val="false"/>
                <w:color w:val="343551"/>
                <w:sz w:val="19"/>
                <w:szCs w:val="19"/>
              </w:rPr>
              <w:t xml:space="preserve">PFAS verification framework (no harmonised standard yet)</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CR 13695-1:2000; EN 13428:2004 Annex C</w:t>
            </w:r>
          </w:p>
        </w:tc>
        <w:tc>
          <w:tcPr>
            <w:tcW w:type="dxa" w:w="4600"/>
            <w:tcMar>
              <w:top w:type="dxa" w:w="60"/>
              <w:left w:type="dxa" w:w="100"/>
              <w:bottom w:type="dxa" w:w="60"/>
              <w:right w:type="dxa" w:w="100"/>
            </w:tcMar>
          </w:tcPr>
          <w:p>
            <w:pPr>
              <w:spacing w:after="0"/>
            </w:pPr>
            <w:r>
              <w:rPr>
                <w:b w:val="false"/>
                <w:bCs w:val="false"/>
                <w:color w:val="343551"/>
                <w:sz w:val="19"/>
                <w:szCs w:val="19"/>
              </w:rPr>
              <w:t xml:space="preserve">Heavy-metals assessment method; substances-of-concern minimisation reference</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ISPM 15 (IPPC/FAO); Regulation (EU) 2016/2031</w:t>
            </w:r>
          </w:p>
        </w:tc>
        <w:tc>
          <w:tcPr>
            <w:tcW w:type="dxa" w:w="4600"/>
            <w:tcMar>
              <w:top w:type="dxa" w:w="60"/>
              <w:left w:type="dxa" w:w="100"/>
              <w:bottom w:type="dxa" w:w="60"/>
              <w:right w:type="dxa" w:w="100"/>
            </w:tcMar>
          </w:tcPr>
          <w:p>
            <w:pPr>
              <w:spacing w:after="0"/>
            </w:pPr>
            <w:r>
              <w:rPr>
                <w:b w:val="false"/>
                <w:bCs w:val="false"/>
                <w:color w:val="343551"/>
                <w:sz w:val="19"/>
                <w:szCs w:val="19"/>
              </w:rPr>
              <w:t xml:space="preserve">Heat treatment of solid-wood packaging; processed wood (plywood, presswood) exempt under §2.1</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Directive (EU) 2024/825</w:t>
            </w:r>
          </w:p>
        </w:tc>
        <w:tc>
          <w:tcPr>
            <w:tcW w:type="dxa" w:w="4600"/>
            <w:tcMar>
              <w:top w:type="dxa" w:w="60"/>
              <w:left w:type="dxa" w:w="100"/>
              <w:bottom w:type="dxa" w:w="60"/>
              <w:right w:type="dxa" w:w="100"/>
            </w:tcMar>
          </w:tcPr>
          <w:p>
            <w:pPr>
              <w:spacing w:after="0"/>
            </w:pPr>
            <w:r>
              <w:rPr>
                <w:b w:val="false"/>
                <w:bCs w:val="false"/>
                <w:color w:val="343551"/>
                <w:sz w:val="19"/>
                <w:szCs w:val="19"/>
              </w:rPr>
              <w:t xml:space="preserve">Green-claims prohibitions from 27 Sep 2026</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VerpackDG (DE); Code de l’environnement L.541-10-13 (FR); RD 1055/2022 Title II Ch. II (ES); D.Lgs. 152/2006 arts 221/223/224 and RENAP (IT); Besluit beheer verpakkingen 2014 (NL); Act of 13 June 2013 and Waste Act art. 49 (PL)</w:t>
            </w:r>
          </w:p>
        </w:tc>
        <w:tc>
          <w:tcPr>
            <w:tcW w:type="dxa" w:w="4600"/>
            <w:tcMar>
              <w:top w:type="dxa" w:w="60"/>
              <w:left w:type="dxa" w:w="100"/>
              <w:bottom w:type="dxa" w:w="60"/>
              <w:right w:type="dxa" w:w="100"/>
            </w:tcMar>
          </w:tcPr>
          <w:p>
            <w:pPr>
              <w:spacing w:after="0"/>
            </w:pPr>
            <w:r>
              <w:rPr>
                <w:b w:val="false"/>
                <w:bCs w:val="false"/>
                <w:color w:val="343551"/>
                <w:sz w:val="19"/>
                <w:szCs w:val="19"/>
              </w:rPr>
              <w:t xml:space="preserve">Member-State producer registration — register, operator and PRO stored separately</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PWM Rules 2016; G.S.R. 133(E) 2022; G.S.R. 201(E) 2024; G.S.R. 73(E) 2025; G.S.R. 237(E) 2026; G.S.R. 571(E) 2021</w:t>
            </w:r>
          </w:p>
        </w:tc>
        <w:tc>
          <w:tcPr>
            <w:tcW w:type="dxa" w:w="4600"/>
            <w:tcMar>
              <w:top w:type="dxa" w:w="60"/>
              <w:left w:type="dxa" w:w="100"/>
              <w:bottom w:type="dxa" w:w="60"/>
              <w:right w:type="dxa" w:w="100"/>
            </w:tcMar>
          </w:tcPr>
          <w:p>
            <w:pPr>
              <w:spacing w:after="0"/>
            </w:pPr>
            <w:r>
              <w:rPr>
                <w:b w:val="false"/>
                <w:bCs w:val="false"/>
                <w:color w:val="343551"/>
                <w:sz w:val="19"/>
                <w:szCs w:val="19"/>
              </w:rPr>
              <w:t xml:space="preserve">India packaging and EPR rules</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ISO 14067</w:t>
            </w:r>
          </w:p>
        </w:tc>
        <w:tc>
          <w:tcPr>
            <w:tcW w:type="dxa" w:w="4600"/>
            <w:tcMar>
              <w:top w:type="dxa" w:w="60"/>
              <w:left w:type="dxa" w:w="100"/>
              <w:bottom w:type="dxa" w:w="60"/>
              <w:right w:type="dxa" w:w="100"/>
            </w:tcMar>
          </w:tcPr>
          <w:p>
            <w:pPr>
              <w:spacing w:after="0"/>
            </w:pPr>
            <w:r>
              <w:rPr>
                <w:b w:val="false"/>
                <w:bCs w:val="false"/>
                <w:color w:val="343551"/>
                <w:sz w:val="19"/>
                <w:szCs w:val="19"/>
              </w:rPr>
              <w:t xml:space="preserve">Cradle-to-gate footprint methodology (screening-grade alignment)</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UK Government GHG conversion factors (BEIS/DEFRA), OGL v3.0; Climatiq API (data version ^36)</w:t>
            </w:r>
          </w:p>
        </w:tc>
        <w:tc>
          <w:tcPr>
            <w:tcW w:type="dxa" w:w="4600"/>
            <w:tcMar>
              <w:top w:type="dxa" w:w="60"/>
              <w:left w:type="dxa" w:w="100"/>
              <w:bottom w:type="dxa" w:w="60"/>
              <w:right w:type="dxa" w:w="100"/>
            </w:tcMar>
          </w:tcPr>
          <w:p>
            <w:pPr>
              <w:spacing w:after="0"/>
            </w:pPr>
            <w:r>
              <w:rPr>
                <w:b w:val="false"/>
                <w:bCs w:val="false"/>
                <w:color w:val="343551"/>
                <w:sz w:val="19"/>
                <w:szCs w:val="19"/>
              </w:rPr>
              <w:t xml:space="preserve">Emission factors: material-use, cradle-to-gate; values republished where the licence permits</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Regulation (EU) 2024/1781 (ESPR); EN 18216–18223:2026</w:t>
            </w:r>
          </w:p>
        </w:tc>
        <w:tc>
          <w:tcPr>
            <w:tcW w:type="dxa" w:w="4600"/>
            <w:tcMar>
              <w:top w:type="dxa" w:w="60"/>
              <w:left w:type="dxa" w:w="100"/>
              <w:bottom w:type="dxa" w:w="60"/>
              <w:right w:type="dxa" w:w="100"/>
            </w:tcMar>
          </w:tcPr>
          <w:p>
            <w:pPr>
              <w:spacing w:after="0"/>
            </w:pPr>
            <w:r>
              <w:rPr>
                <w:b w:val="false"/>
                <w:bCs w:val="false"/>
                <w:color w:val="343551"/>
                <w:sz w:val="19"/>
                <w:szCs w:val="19"/>
              </w:rPr>
              <w:t xml:space="preserve">Digital Product Passport architecture the passport is aligned to</w:t>
            </w:r>
          </w:p>
        </w:tc>
      </w:tr>
      <w:tr>
        <w:tc>
          <w:tcPr>
            <w:tcW w:type="dxa" w:w="4400"/>
            <w:tcMar>
              <w:top w:type="dxa" w:w="60"/>
              <w:left w:type="dxa" w:w="100"/>
              <w:bottom w:type="dxa" w:w="60"/>
              <w:right w:type="dxa" w:w="100"/>
            </w:tcMar>
          </w:tcPr>
          <w:p>
            <w:pPr>
              <w:spacing w:after="0"/>
            </w:pPr>
            <w:r>
              <w:rPr>
                <w:b w:val="false"/>
                <w:bCs w:val="false"/>
                <w:color w:val="343551"/>
                <w:sz w:val="19"/>
                <w:szCs w:val="19"/>
              </w:rPr>
              <w:t xml:space="preserve">Regulation (EU) 2023/956 (CBAM)</w:t>
            </w:r>
          </w:p>
        </w:tc>
        <w:tc>
          <w:tcPr>
            <w:tcW w:type="dxa" w:w="4600"/>
            <w:tcMar>
              <w:top w:type="dxa" w:w="60"/>
              <w:left w:type="dxa" w:w="100"/>
              <w:bottom w:type="dxa" w:w="60"/>
              <w:right w:type="dxa" w:w="100"/>
            </w:tcMar>
          </w:tcPr>
          <w:p>
            <w:pPr>
              <w:spacing w:after="0"/>
            </w:pPr>
            <w:r>
              <w:rPr>
                <w:b w:val="false"/>
                <w:bCs w:val="false"/>
                <w:color w:val="343551"/>
                <w:sz w:val="19"/>
                <w:szCs w:val="19"/>
              </w:rPr>
              <w:t xml:space="preserve">Context for metal packaging traded as goods; embedded-emissions data</w:t>
            </w:r>
          </w:p>
        </w:tc>
      </w:tr>
    </w:tbl>
    <w:p>
      <w:pPr>
        <w:pStyle w:val="Heading1"/>
      </w:pPr>
      <w:r>
        <w:t xml:space="preserve">5. What this tool is not</w:t>
      </w:r>
    </w:p>
    <w:p>
      <w:pPr>
        <w:pStyle w:val="ListParagraph"/>
        <w:numPr>
          <w:ilvl w:val="0"/>
          <w:numId w:val="2"/>
        </w:numPr>
        <w:spacing w:after="60"/>
      </w:pPr>
      <w:r>
        <w:rPr>
          <w:b/>
          <w:bCs/>
        </w:rPr>
        <w:t xml:space="preserve">Not a certificate and not a Declaration of Conformity. </w:t>
      </w:r>
      <w:r>
        <w:t xml:space="preserve">Output is qualification screening and evidence assembly. The Declaration is drafted for the manufacturer to complete and sign; the tool never issues one, and no output uses the words “certified”, “compliant” or “issued” about itself.</w:t>
      </w:r>
    </w:p>
    <w:p>
      <w:pPr>
        <w:pStyle w:val="ListParagraph"/>
        <w:numPr>
          <w:ilvl w:val="0"/>
          <w:numId w:val="2"/>
        </w:numPr>
        <w:spacing w:after="60"/>
      </w:pPr>
      <w:r>
        <w:rPr>
          <w:b/>
          <w:bCs/>
        </w:rPr>
        <w:t xml:space="preserve">Not a laboratory. </w:t>
      </w:r>
      <w:r>
        <w:t xml:space="preserve">It does not test anything. It records who did, and checks that their document covers your component, is in date, and states the right limit against the right standard.</w:t>
      </w:r>
    </w:p>
    <w:p>
      <w:pPr>
        <w:pStyle w:val="ListParagraph"/>
        <w:numPr>
          <w:ilvl w:val="0"/>
          <w:numId w:val="2"/>
        </w:numPr>
        <w:spacing w:after="60"/>
      </w:pPr>
      <w:r>
        <w:rPr>
          <w:b/>
          <w:bCs/>
        </w:rPr>
        <w:t xml:space="preserve">Not legal advice. </w:t>
      </w:r>
      <w:r>
        <w:t xml:space="preserve">Rules are cited to primary law and verified by a named regulatory owner, but applicability to a specific contract, role or supply chain is a legal judgement. Ambiguous manufacturer roles are flagged for legal confirmation, not resolved silently.</w:t>
      </w:r>
    </w:p>
    <w:p>
      <w:pPr>
        <w:pStyle w:val="ListParagraph"/>
        <w:numPr>
          <w:ilvl w:val="0"/>
          <w:numId w:val="2"/>
        </w:numPr>
        <w:spacing w:after="60"/>
      </w:pPr>
      <w:r>
        <w:rPr>
          <w:b/>
          <w:bCs/>
        </w:rPr>
        <w:t xml:space="preserve">Not an audit. </w:t>
      </w:r>
      <w:r>
        <w:t xml:space="preserve">Nothing in the tool is audited or audit-grade. The footprint is a screening estimate with visible provenance; extraction is machine-read and human-confirmed.</w:t>
      </w:r>
    </w:p>
    <w:p>
      <w:pPr>
        <w:pStyle w:val="ListParagraph"/>
        <w:numPr>
          <w:ilvl w:val="0"/>
          <w:numId w:val="2"/>
        </w:numPr>
        <w:spacing w:after="60"/>
      </w:pPr>
      <w:r>
        <w:rPr>
          <w:b/>
          <w:bCs/>
        </w:rPr>
        <w:t xml:space="preserve">Not a Digital Product Passport (yet). </w:t>
      </w:r>
      <w:r>
        <w:t xml:space="preserve">The passport follows the DPP architecture and disclosure principles; the packaging DPP act does not exist.</w:t>
      </w:r>
    </w:p>
    <w:p>
      <w:pPr>
        <w:pStyle w:val="ListParagraph"/>
        <w:numPr>
          <w:ilvl w:val="0"/>
          <w:numId w:val="2"/>
        </w:numPr>
        <w:spacing w:after="60"/>
      </w:pPr>
      <w:r>
        <w:rPr>
          <w:b/>
          <w:bCs/>
        </w:rPr>
        <w:t xml:space="preserve">Not a registry. </w:t>
      </w:r>
      <w:r>
        <w:t xml:space="preserve">It does not register producers or file declarations anywhere. It records your registration numbers and shows them; it does not check them against the register.</w:t>
      </w:r>
    </w:p>
    <w:p>
      <w:pPr>
        <w:pStyle w:val="ListParagraph"/>
        <w:numPr>
          <w:ilvl w:val="0"/>
          <w:numId w:val="2"/>
        </w:numPr>
        <w:spacing w:after="60"/>
      </w:pPr>
      <w:r>
        <w:rPr>
          <w:b/>
          <w:bCs/>
        </w:rPr>
        <w:t xml:space="preserve">Not complete. </w:t>
      </w:r>
      <w:r>
        <w:t xml:space="preserve">Coverage today: EU PPWR, six Member-State registration regimes (DE, FR, ES, IT, NL, PL), ISPM 15, India PWM. Not covered: other Member States, US state EPR, Gulf regimes, food-contact framework law (1935/2004, 10/2011), dangerous-goods packaging rules. A rule that is not in the corpus produces no verdict; it does not produce a pass.</w:t>
      </w:r>
    </w:p>
    <w:p>
      <w:pPr>
        <w:pStyle w:val="Heading1"/>
      </w:pPr>
      <w:r>
        <w:t xml:space="preserve">6. Data, security and governance</w:t>
      </w:r>
    </w:p>
    <w:p>
      <w:pPr>
        <w:spacing w:after="40" w:before="160"/>
      </w:pPr>
      <w:r>
        <w:rPr>
          <w:b/>
          <w:bCs/>
          <w:color w:val="1A1C3C"/>
        </w:rPr>
        <w:t xml:space="preserve">Where is my data?</w:t>
      </w:r>
    </w:p>
    <w:p>
      <w:pPr>
        <w:spacing w:after="100"/>
      </w:pPr>
      <w:r>
        <w:t xml:space="preserve">In a private PostgreSQL database in Frankfurt (EU region) and a private, encrypted object store. Documents are served only through authenticated, time-limited links; nothing from a document body appears on any public page. Preview and production environments are isolated.</w:t>
      </w:r>
    </w:p>
    <w:p>
      <w:pPr>
        <w:spacing w:after="40" w:before="160"/>
      </w:pPr>
      <w:r>
        <w:rPr>
          <w:b/>
          <w:bCs/>
          <w:color w:val="1A1C3C"/>
        </w:rPr>
        <w:t xml:space="preserve">Who can change the rules?</w:t>
      </w:r>
    </w:p>
    <w:p>
      <w:pPr>
        <w:spacing w:after="100"/>
      </w:pPr>
      <w:r>
        <w:t xml:space="preserve">Only the named regulatory owner, through command-line tools that run on their own machine — never from the web application and never by an automated agent. Approval and verification are recorded per rule with the primary source consulted, the person, and the date. Rules are versioned; approved content is immutable; corrections are new versions.</w:t>
      </w:r>
    </w:p>
    <w:p>
      <w:pPr>
        <w:spacing w:after="40" w:before="160"/>
      </w:pPr>
      <w:r>
        <w:rPr>
          <w:b/>
          <w:bCs/>
          <w:color w:val="1A1C3C"/>
        </w:rPr>
        <w:t xml:space="preserve">What happens when the law changes?</w:t>
      </w:r>
    </w:p>
    <w:p>
      <w:pPr>
        <w:spacing w:after="100"/>
      </w:pPr>
      <w:r>
        <w:t xml:space="preserve">New or amended rules enter as drafts, pass the same approval and verification, and are released as a new corpus version. Existing reports stay pinned to the release they were evaluated against; new assessments use the current release. Nothing is silently re-judged.</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D4F67"/>
        <w:sz w:val="16"/>
        <w:szCs w:val="16"/>
      </w:rPr>
      <w:t xml:space="preserve">Qualification screening and evidence assembly only — not a Declaration of Conformity, certificate or legal advice.   Page </w:t>
    </w:r>
    <w:r>
      <w:rPr>
        <w:color w:val="4D4F6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D4F67"/>
        <w:sz w:val="16"/>
        <w:szCs w:val="16"/>
      </w:rPr>
      <w:t xml:space="preserve">Fitsol · Packaging compliance screening · Frequently asked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3435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DM Sans" w:cs="DM Sans" w:eastAsia="DM Sans" w:hAnsi="DM Sans"/>
      <w:b/>
      <w:bCs/>
      <w:color w:val="1A1C3C"/>
      <w:sz w:val="44"/>
      <w:szCs w:val="44"/>
    </w:rPr>
  </w:style>
  <w:style w:type="paragraph" w:styleId="Subtitle">
    <w:name w:val="Subtitle"/>
    <w:basedOn w:val="Normal"/>
    <w:pPr>
      <w:spacing w:after="360"/>
    </w:pPr>
    <w:rPr>
      <w:rFonts w:ascii="DM Sans" w:cs="DM Sans" w:eastAsia="DM Sans" w:hAnsi="DM Sans"/>
      <w:color w:val="4D4F67"/>
      <w:sz w:val="22"/>
      <w:szCs w:val="22"/>
    </w:rPr>
  </w:style>
  <w:style w:type="paragraph" w:styleId="Heading1">
    <w:name w:val="Heading 1"/>
    <w:basedOn w:val="Normal"/>
    <w:next w:val="Normal"/>
    <w:qFormat/>
    <w:pPr>
      <w:pBdr>
        <w:bottom w:val="single" w:color="05A070" w:sz="6" w:space="4"/>
      </w:pBdr>
      <w:spacing w:after="120" w:before="360"/>
      <w:outlineLvl w:val="0"/>
    </w:pPr>
    <w:rPr>
      <w:rFonts w:ascii="DM Sans" w:cs="DM Sans" w:eastAsia="DM Sans" w:hAnsi="DM Sans"/>
      <w:b/>
      <w:bCs/>
      <w:color w:val="04524E"/>
      <w:sz w:val="30"/>
      <w:szCs w:val="30"/>
    </w:rPr>
  </w:style>
  <w:style w:type="paragraph" w:styleId="Heading2">
    <w:name w:val="Heading 2"/>
    <w:basedOn w:val="Normal"/>
    <w:next w:val="Normal"/>
    <w:qFormat/>
    <w:pPr>
      <w:spacing w:after="80" w:before="240"/>
      <w:outlineLvl w:val="1"/>
    </w:pPr>
    <w:rPr>
      <w:rFonts w:ascii="DM Sans" w:cs="DM Sans" w:eastAsia="DM Sans" w:hAnsi="DM Sans"/>
      <w:b/>
      <w:bCs/>
      <w:color w:val="1A1C3C"/>
      <w:sz w:val="24"/>
      <w:szCs w:val="24"/>
    </w:rPr>
  </w:style>
  <w:style w:type="paragraph" w:styleId="Heading3">
    <w:name w:val="Heading 3"/>
    <w:basedOn w:val="Normal"/>
    <w:next w:val="Normal"/>
    <w:qFormat/>
    <w:pPr>
      <w:spacing w:after="60" w:before="160"/>
      <w:outlineLvl w:val="2"/>
    </w:pPr>
    <w:rPr>
      <w:rFonts w:ascii="DM Sans" w:cs="DM Sans" w:eastAsia="DM Sans" w:hAnsi="DM Sans"/>
      <w:b/>
      <w:bCs/>
      <w:color w:val="3435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2026-09-14T16:01:49.356Z</dcterms:created>
  <dcterms:modified xsi:type="dcterms:W3CDTF">2026-09-14T16:01:49.374Z</dcterms:modified>
</cp:coreProperties>
</file>

<file path=docProps/custom.xml><?xml version="1.0" encoding="utf-8"?>
<Properties xmlns="http://schemas.openxmlformats.org/officeDocument/2006/custom-properties" xmlns:vt="http://schemas.openxmlformats.org/officeDocument/2006/docPropsVTypes"/>
</file>