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User guide</w:t>
      </w:r>
    </w:p>
    <w:p>
      <w:pPr>
        <w:pStyle w:val="Subtitle"/>
      </w:pPr>
      <w:r>
        <w:t xml:space="preserve">Creating assessments, reading outcomes, validating proof, and where people are required · Version 1.1 · 14 September 2026</w:t>
      </w:r>
    </w:p>
    <w:p>
      <w:pPr>
        <w:pStyle w:val="Heading1"/>
      </w:pPr>
      <w:r>
        <w:t xml:space="preserve">1. Who does what</w:t>
      </w:r>
    </w:p>
    <w:tbl>
      <w:tblPr>
        <w:tblW w:type="dxa" w:w="9000"/>
        <w:tblBorders>
          <w:top w:val="single" w:color="E6E6E9" w:sz="4"/>
          <w:left w:val="none"/>
          <w:bottom w:val="single" w:color="E6E6E9" w:sz="4"/>
          <w:right w:val="none"/>
          <w:insideH w:val="single" w:color="E6E6E9" w:sz="4"/>
          <w:insideV w:val="none"/>
        </w:tblBorders>
      </w:tblPr>
      <w:tblGrid>
        <w:gridCol w:w="1800"/>
        <w:gridCol w:w="2000"/>
        <w:gridCol w:w="3200"/>
        <w:gridCol w:w="2000"/>
      </w:tblGrid>
      <w:tr>
        <w:trPr>
          <w:tblHeader/>
        </w:trPr>
        <w:tc>
          <w:tcPr>
            <w:tcW w:type="dxa" w:w="1800"/>
            <w:shd w:fill="04524E" w:color="auto" w:val="clear"/>
            <w:tcMar>
              <w:top w:type="dxa" w:w="60"/>
              <w:left w:type="dxa" w:w="100"/>
              <w:bottom w:type="dxa" w:w="60"/>
              <w:right w:type="dxa" w:w="100"/>
            </w:tcMar>
          </w:tcPr>
          <w:p>
            <w:pPr>
              <w:spacing w:after="0"/>
            </w:pPr>
            <w:r>
              <w:rPr>
                <w:b/>
                <w:bCs/>
                <w:color w:val="FFFFFF"/>
                <w:sz w:val="19"/>
                <w:szCs w:val="19"/>
              </w:rPr>
              <w:t xml:space="preserve">Role</w:t>
            </w:r>
          </w:p>
        </w:tc>
        <w:tc>
          <w:tcPr>
            <w:tcW w:type="dxa" w:w="2000"/>
            <w:shd w:fill="04524E" w:color="auto" w:val="clear"/>
            <w:tcMar>
              <w:top w:type="dxa" w:w="60"/>
              <w:left w:type="dxa" w:w="100"/>
              <w:bottom w:type="dxa" w:w="60"/>
              <w:right w:type="dxa" w:w="100"/>
            </w:tcMar>
          </w:tcPr>
          <w:p>
            <w:pPr>
              <w:spacing w:after="0"/>
            </w:pPr>
            <w:r>
              <w:rPr>
                <w:b/>
                <w:bCs/>
                <w:color w:val="FFFFFF"/>
                <w:sz w:val="19"/>
                <w:szCs w:val="19"/>
              </w:rPr>
              <w:t xml:space="preserve">Who</w:t>
            </w:r>
          </w:p>
        </w:tc>
        <w:tc>
          <w:tcPr>
            <w:tcW w:type="dxa" w:w="3200"/>
            <w:shd w:fill="04524E" w:color="auto" w:val="clear"/>
            <w:tcMar>
              <w:top w:type="dxa" w:w="60"/>
              <w:left w:type="dxa" w:w="100"/>
              <w:bottom w:type="dxa" w:w="60"/>
              <w:right w:type="dxa" w:w="100"/>
            </w:tcMar>
          </w:tcPr>
          <w:p>
            <w:pPr>
              <w:spacing w:after="0"/>
            </w:pPr>
            <w:r>
              <w:rPr>
                <w:b/>
                <w:bCs/>
                <w:color w:val="FFFFFF"/>
                <w:sz w:val="19"/>
                <w:szCs w:val="19"/>
              </w:rPr>
              <w:t xml:space="preserve">Does</w:t>
            </w:r>
          </w:p>
        </w:tc>
        <w:tc>
          <w:tcPr>
            <w:tcW w:type="dxa" w:w="2000"/>
            <w:shd w:fill="04524E" w:color="auto" w:val="clear"/>
            <w:tcMar>
              <w:top w:type="dxa" w:w="60"/>
              <w:left w:type="dxa" w:w="100"/>
              <w:bottom w:type="dxa" w:w="60"/>
              <w:right w:type="dxa" w:w="100"/>
            </w:tcMar>
          </w:tcPr>
          <w:p>
            <w:pPr>
              <w:spacing w:after="0"/>
            </w:pPr>
            <w:r>
              <w:rPr>
                <w:b/>
                <w:bCs/>
                <w:color w:val="FFFFFF"/>
                <w:sz w:val="19"/>
                <w:szCs w:val="19"/>
              </w:rPr>
              <w:t xml:space="preserve">Cannot</w:t>
            </w:r>
          </w:p>
        </w:tc>
      </w:tr>
      <w:tr>
        <w:tc>
          <w:tcPr>
            <w:tcW w:type="dxa" w:w="1800"/>
            <w:tcMar>
              <w:top w:type="dxa" w:w="60"/>
              <w:left w:type="dxa" w:w="100"/>
              <w:bottom w:type="dxa" w:w="60"/>
              <w:right w:type="dxa" w:w="100"/>
            </w:tcMar>
          </w:tcPr>
          <w:p>
            <w:pPr>
              <w:spacing w:after="0"/>
            </w:pPr>
            <w:r>
              <w:rPr>
                <w:b w:val="false"/>
                <w:bCs w:val="false"/>
                <w:color w:val="343551"/>
                <w:sz w:val="19"/>
                <w:szCs w:val="19"/>
              </w:rPr>
              <w:t xml:space="preserve">Regulatory owner</w:t>
            </w:r>
          </w:p>
        </w:tc>
        <w:tc>
          <w:tcPr>
            <w:tcW w:type="dxa" w:w="2000"/>
            <w:tcMar>
              <w:top w:type="dxa" w:w="60"/>
              <w:left w:type="dxa" w:w="100"/>
              <w:bottom w:type="dxa" w:w="60"/>
              <w:right w:type="dxa" w:w="100"/>
            </w:tcMar>
          </w:tcPr>
          <w:p>
            <w:pPr>
              <w:spacing w:after="0"/>
            </w:pPr>
            <w:r>
              <w:rPr>
                <w:b w:val="false"/>
                <w:bCs w:val="false"/>
                <w:color w:val="343551"/>
                <w:sz w:val="19"/>
                <w:szCs w:val="19"/>
              </w:rPr>
              <w:t xml:space="preserve">Named Fitsol expert (currently the CTO)</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Approves and verifies every rule, guidance text, document template and emission factor; owns corpus releases</w:t>
            </w:r>
          </w:p>
        </w:tc>
        <w:tc>
          <w:tcPr>
            <w:tcW w:type="dxa" w:w="2000"/>
            <w:tcMar>
              <w:top w:type="dxa" w:w="60"/>
              <w:left w:type="dxa" w:w="100"/>
              <w:bottom w:type="dxa" w:w="60"/>
              <w:right w:type="dxa" w:w="100"/>
            </w:tcMar>
          </w:tcPr>
          <w:p>
            <w:pPr>
              <w:spacing w:after="0"/>
            </w:pPr>
            <w:r>
              <w:rPr>
                <w:b w:val="false"/>
                <w:bCs w:val="false"/>
                <w:color w:val="343551"/>
                <w:sz w:val="19"/>
                <w:szCs w:val="19"/>
              </w:rPr>
              <w:t xml:space="preserve">Be replaced by any automated step</w:t>
            </w:r>
          </w:p>
        </w:tc>
      </w:tr>
      <w:tr>
        <w:tc>
          <w:tcPr>
            <w:tcW w:type="dxa" w:w="1800"/>
            <w:tcMar>
              <w:top w:type="dxa" w:w="60"/>
              <w:left w:type="dxa" w:w="100"/>
              <w:bottom w:type="dxa" w:w="60"/>
              <w:right w:type="dxa" w:w="100"/>
            </w:tcMar>
          </w:tcPr>
          <w:p>
            <w:pPr>
              <w:spacing w:after="0"/>
            </w:pPr>
            <w:r>
              <w:rPr>
                <w:b w:val="false"/>
                <w:bCs w:val="false"/>
                <w:color w:val="343551"/>
                <w:sz w:val="19"/>
                <w:szCs w:val="19"/>
              </w:rPr>
              <w:t xml:space="preserve">Assessor</w:t>
            </w:r>
          </w:p>
        </w:tc>
        <w:tc>
          <w:tcPr>
            <w:tcW w:type="dxa" w:w="2000"/>
            <w:tcMar>
              <w:top w:type="dxa" w:w="60"/>
              <w:left w:type="dxa" w:w="100"/>
              <w:bottom w:type="dxa" w:w="60"/>
              <w:right w:type="dxa" w:w="100"/>
            </w:tcMar>
          </w:tcPr>
          <w:p>
            <w:pPr>
              <w:spacing w:after="0"/>
            </w:pPr>
            <w:r>
              <w:rPr>
                <w:b w:val="false"/>
                <w:bCs w:val="false"/>
                <w:color w:val="343551"/>
                <w:sz w:val="19"/>
                <w:szCs w:val="19"/>
              </w:rPr>
              <w:t xml:space="preserve">Fitsol delivery lead or client compliance lead</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Creates assessments, enters BOM and evidence, confirms extracted claims, annotates risk, requests evidence, generates drafts and passports</w:t>
            </w:r>
          </w:p>
        </w:tc>
        <w:tc>
          <w:tcPr>
            <w:tcW w:type="dxa" w:w="2000"/>
            <w:tcMar>
              <w:top w:type="dxa" w:w="60"/>
              <w:left w:type="dxa" w:w="100"/>
              <w:bottom w:type="dxa" w:w="60"/>
              <w:right w:type="dxa" w:w="100"/>
            </w:tcMar>
          </w:tcPr>
          <w:p>
            <w:pPr>
              <w:spacing w:after="0"/>
            </w:pPr>
            <w:r>
              <w:rPr>
                <w:b w:val="false"/>
                <w:bCs w:val="false"/>
                <w:color w:val="343551"/>
                <w:sz w:val="19"/>
                <w:szCs w:val="19"/>
              </w:rPr>
              <w:t xml:space="preserve">Approve rules; sign the Declaration</w:t>
            </w:r>
          </w:p>
        </w:tc>
      </w:tr>
      <w:tr>
        <w:tc>
          <w:tcPr>
            <w:tcW w:type="dxa" w:w="1800"/>
            <w:tcMar>
              <w:top w:type="dxa" w:w="60"/>
              <w:left w:type="dxa" w:w="100"/>
              <w:bottom w:type="dxa" w:w="60"/>
              <w:right w:type="dxa" w:w="100"/>
            </w:tcMar>
          </w:tcPr>
          <w:p>
            <w:pPr>
              <w:spacing w:after="0"/>
            </w:pPr>
            <w:r>
              <w:rPr>
                <w:b w:val="false"/>
                <w:bCs w:val="false"/>
                <w:color w:val="343551"/>
                <w:sz w:val="19"/>
                <w:szCs w:val="19"/>
              </w:rPr>
              <w:t xml:space="preserve">Supplier / lab</w:t>
            </w:r>
          </w:p>
        </w:tc>
        <w:tc>
          <w:tcPr>
            <w:tcW w:type="dxa" w:w="2000"/>
            <w:tcMar>
              <w:top w:type="dxa" w:w="60"/>
              <w:left w:type="dxa" w:w="100"/>
              <w:bottom w:type="dxa" w:w="60"/>
              <w:right w:type="dxa" w:w="100"/>
            </w:tcMar>
          </w:tcPr>
          <w:p>
            <w:pPr>
              <w:spacing w:after="0"/>
            </w:pPr>
            <w:r>
              <w:rPr>
                <w:b w:val="false"/>
                <w:bCs w:val="false"/>
                <w:color w:val="343551"/>
                <w:sz w:val="19"/>
                <w:szCs w:val="19"/>
              </w:rPr>
              <w:t xml:space="preserve">Client’s upstream parties</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Receives a magic link, uploads the requested document</w:t>
            </w:r>
          </w:p>
        </w:tc>
        <w:tc>
          <w:tcPr>
            <w:tcW w:type="dxa" w:w="2000"/>
            <w:tcMar>
              <w:top w:type="dxa" w:w="60"/>
              <w:left w:type="dxa" w:w="100"/>
              <w:bottom w:type="dxa" w:w="60"/>
              <w:right w:type="dxa" w:w="100"/>
            </w:tcMar>
          </w:tcPr>
          <w:p>
            <w:pPr>
              <w:spacing w:after="0"/>
            </w:pPr>
            <w:r>
              <w:rPr>
                <w:b w:val="false"/>
                <w:bCs w:val="false"/>
                <w:color w:val="343551"/>
                <w:sz w:val="19"/>
                <w:szCs w:val="19"/>
              </w:rPr>
              <w:t xml:space="preserve">See anything but the request they were sent</w:t>
            </w:r>
          </w:p>
        </w:tc>
      </w:tr>
      <w:tr>
        <w:tc>
          <w:tcPr>
            <w:tcW w:type="dxa" w:w="1800"/>
            <w:tcMar>
              <w:top w:type="dxa" w:w="60"/>
              <w:left w:type="dxa" w:w="100"/>
              <w:bottom w:type="dxa" w:w="60"/>
              <w:right w:type="dxa" w:w="100"/>
            </w:tcMar>
          </w:tcPr>
          <w:p>
            <w:pPr>
              <w:spacing w:after="0"/>
            </w:pPr>
            <w:r>
              <w:rPr>
                <w:b w:val="false"/>
                <w:bCs w:val="false"/>
                <w:color w:val="343551"/>
                <w:sz w:val="19"/>
                <w:szCs w:val="19"/>
              </w:rPr>
              <w:t xml:space="preserve">Manufacturer (the obligated operator)</w:t>
            </w:r>
          </w:p>
        </w:tc>
        <w:tc>
          <w:tcPr>
            <w:tcW w:type="dxa" w:w="2000"/>
            <w:tcMar>
              <w:top w:type="dxa" w:w="60"/>
              <w:left w:type="dxa" w:w="100"/>
              <w:bottom w:type="dxa" w:w="60"/>
              <w:right w:type="dxa" w:w="100"/>
            </w:tcMar>
          </w:tcPr>
          <w:p>
            <w:pPr>
              <w:spacing w:after="0"/>
            </w:pPr>
            <w:r>
              <w:rPr>
                <w:b w:val="false"/>
                <w:bCs w:val="false"/>
                <w:color w:val="343551"/>
                <w:sz w:val="19"/>
                <w:szCs w:val="19"/>
              </w:rPr>
              <w:t xml:space="preserve">The client’s legal entity</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Completes, signs and retains the Declaration of Conformity; holds the technical file</w:t>
            </w:r>
          </w:p>
        </w:tc>
        <w:tc>
          <w:tcPr>
            <w:tcW w:type="dxa" w:w="2000"/>
            <w:tcMar>
              <w:top w:type="dxa" w:w="60"/>
              <w:left w:type="dxa" w:w="100"/>
              <w:bottom w:type="dxa" w:w="60"/>
              <w:right w:type="dxa" w:w="100"/>
            </w:tcMar>
          </w:tcPr>
          <w:p>
            <w:pPr>
              <w:spacing w:after="0"/>
            </w:pPr>
            <w:r>
              <w:rPr>
                <w:b w:val="false"/>
                <w:bCs w:val="false"/>
                <w:color w:val="343551"/>
                <w:sz w:val="19"/>
                <w:szCs w:val="19"/>
              </w:rPr>
              <w:t xml:space="preserve">Delegate signing to the tool</w:t>
            </w:r>
          </w:p>
        </w:tc>
      </w:tr>
      <w:tr>
        <w:tc>
          <w:tcPr>
            <w:tcW w:type="dxa" w:w="1800"/>
            <w:tcMar>
              <w:top w:type="dxa" w:w="60"/>
              <w:left w:type="dxa" w:w="100"/>
              <w:bottom w:type="dxa" w:w="60"/>
              <w:right w:type="dxa" w:w="100"/>
            </w:tcMar>
          </w:tcPr>
          <w:p>
            <w:pPr>
              <w:spacing w:after="0"/>
            </w:pPr>
            <w:r>
              <w:rPr>
                <w:b w:val="false"/>
                <w:bCs w:val="false"/>
                <w:color w:val="343551"/>
                <w:sz w:val="19"/>
                <w:szCs w:val="19"/>
              </w:rPr>
              <w:t xml:space="preserve">Viewer</w:t>
            </w:r>
          </w:p>
        </w:tc>
        <w:tc>
          <w:tcPr>
            <w:tcW w:type="dxa" w:w="2000"/>
            <w:tcMar>
              <w:top w:type="dxa" w:w="60"/>
              <w:left w:type="dxa" w:w="100"/>
              <w:bottom w:type="dxa" w:w="60"/>
              <w:right w:type="dxa" w:w="100"/>
            </w:tcMar>
          </w:tcPr>
          <w:p>
            <w:pPr>
              <w:spacing w:after="0"/>
            </w:pPr>
            <w:r>
              <w:rPr>
                <w:b w:val="false"/>
                <w:bCs w:val="false"/>
                <w:color w:val="343551"/>
                <w:sz w:val="19"/>
                <w:szCs w:val="19"/>
              </w:rPr>
              <w:t xml:space="preserve">Anyone who scans the passport QR</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Reads the public tier</w:t>
            </w:r>
          </w:p>
        </w:tc>
        <w:tc>
          <w:tcPr>
            <w:tcW w:type="dxa" w:w="2000"/>
            <w:tcMar>
              <w:top w:type="dxa" w:w="60"/>
              <w:left w:type="dxa" w:w="100"/>
              <w:bottom w:type="dxa" w:w="60"/>
              <w:right w:type="dxa" w:w="100"/>
            </w:tcMar>
          </w:tcPr>
          <w:p>
            <w:pPr>
              <w:spacing w:after="0"/>
            </w:pPr>
            <w:r>
              <w:rPr>
                <w:b w:val="false"/>
                <w:bCs w:val="false"/>
                <w:color w:val="343551"/>
                <w:sz w:val="19"/>
                <w:szCs w:val="19"/>
              </w:rPr>
              <w:t xml:space="preserve">See documents, contacts or addresses</w:t>
            </w:r>
          </w:p>
        </w:tc>
      </w:tr>
    </w:tbl>
    <w:p>
      <w:pPr>
        <w:pStyle w:val="Heading1"/>
      </w:pPr>
      <w:r>
        <w:t xml:space="preserve">2. Before you start — dependencies</w:t>
      </w:r>
    </w:p>
    <w:tbl>
      <w:tblPr>
        <w:tblW w:type="dxa" w:w="9000"/>
        <w:tblBorders>
          <w:top w:val="single" w:color="E6E6E9" w:sz="4"/>
          <w:left w:val="none"/>
          <w:bottom w:val="single" w:color="E6E6E9" w:sz="4"/>
          <w:right w:val="none"/>
          <w:insideH w:val="single" w:color="E6E6E9" w:sz="4"/>
          <w:insideV w:val="none"/>
        </w:tblBorders>
      </w:tblPr>
      <w:tblGrid>
        <w:gridCol w:w="2800"/>
        <w:gridCol w:w="4400"/>
        <w:gridCol w:w="1800"/>
      </w:tblGrid>
      <w:tr>
        <w:trPr>
          <w:tblHeader/>
        </w:trPr>
        <w:tc>
          <w:tcPr>
            <w:tcW w:type="dxa" w:w="2800"/>
            <w:shd w:fill="04524E" w:color="auto" w:val="clear"/>
            <w:tcMar>
              <w:top w:type="dxa" w:w="60"/>
              <w:left w:type="dxa" w:w="100"/>
              <w:bottom w:type="dxa" w:w="60"/>
              <w:right w:type="dxa" w:w="100"/>
            </w:tcMar>
          </w:tcPr>
          <w:p>
            <w:pPr>
              <w:spacing w:after="0"/>
            </w:pPr>
            <w:r>
              <w:rPr>
                <w:b/>
                <w:bCs/>
                <w:color w:val="FFFFFF"/>
                <w:sz w:val="19"/>
                <w:szCs w:val="19"/>
              </w:rPr>
              <w:t xml:space="preserve">Dependency</w:t>
            </w:r>
          </w:p>
        </w:tc>
        <w:tc>
          <w:tcPr>
            <w:tcW w:type="dxa" w:w="4400"/>
            <w:shd w:fill="04524E" w:color="auto" w:val="clear"/>
            <w:tcMar>
              <w:top w:type="dxa" w:w="60"/>
              <w:left w:type="dxa" w:w="100"/>
              <w:bottom w:type="dxa" w:w="60"/>
              <w:right w:type="dxa" w:w="100"/>
            </w:tcMar>
          </w:tcPr>
          <w:p>
            <w:pPr>
              <w:spacing w:after="0"/>
            </w:pPr>
            <w:r>
              <w:rPr>
                <w:b/>
                <w:bCs/>
                <w:color w:val="FFFFFF"/>
                <w:sz w:val="19"/>
                <w:szCs w:val="19"/>
              </w:rPr>
              <w:t xml:space="preserve">Why it matters</w:t>
            </w:r>
          </w:p>
        </w:tc>
        <w:tc>
          <w:tcPr>
            <w:tcW w:type="dxa" w:w="1800"/>
            <w:shd w:fill="04524E" w:color="auto" w:val="clear"/>
            <w:tcMar>
              <w:top w:type="dxa" w:w="60"/>
              <w:left w:type="dxa" w:w="100"/>
              <w:bottom w:type="dxa" w:w="60"/>
              <w:right w:type="dxa" w:w="100"/>
            </w:tcMar>
          </w:tcPr>
          <w:p>
            <w:pPr>
              <w:spacing w:after="0"/>
            </w:pPr>
            <w:r>
              <w:rPr>
                <w:b/>
                <w:bCs/>
                <w:color w:val="FFFFFF"/>
                <w:sz w:val="19"/>
                <w:szCs w:val="19"/>
              </w:rPr>
              <w:t xml:space="preserve">Owner</w:t>
            </w:r>
          </w:p>
        </w:tc>
      </w:tr>
      <w:tr>
        <w:tc>
          <w:tcPr>
            <w:tcW w:type="dxa" w:w="2800"/>
            <w:tcMar>
              <w:top w:type="dxa" w:w="60"/>
              <w:left w:type="dxa" w:w="100"/>
              <w:bottom w:type="dxa" w:w="60"/>
              <w:right w:type="dxa" w:w="100"/>
            </w:tcMar>
          </w:tcPr>
          <w:p>
            <w:pPr>
              <w:spacing w:after="0"/>
            </w:pPr>
            <w:r>
              <w:rPr>
                <w:b w:val="false"/>
                <w:bCs w:val="false"/>
                <w:color w:val="343551"/>
                <w:sz w:val="19"/>
                <w:szCs w:val="19"/>
              </w:rPr>
              <w:t xml:space="preserve">Corpus release with the rules you need in force</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Draft rules produce caveats, never verdicts. Check the Corpus page: in force vs draft vs upcoming.</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Regulatory owner</w:t>
            </w:r>
          </w:p>
        </w:tc>
      </w:tr>
      <w:tr>
        <w:tc>
          <w:tcPr>
            <w:tcW w:type="dxa" w:w="2800"/>
            <w:tcMar>
              <w:top w:type="dxa" w:w="60"/>
              <w:left w:type="dxa" w:w="100"/>
              <w:bottom w:type="dxa" w:w="60"/>
              <w:right w:type="dxa" w:w="100"/>
            </w:tcMar>
          </w:tcPr>
          <w:p>
            <w:pPr>
              <w:spacing w:after="0"/>
            </w:pPr>
            <w:r>
              <w:rPr>
                <w:b w:val="false"/>
                <w:bCs w:val="false"/>
                <w:color w:val="343551"/>
                <w:sz w:val="19"/>
                <w:szCs w:val="19"/>
              </w:rPr>
              <w:t xml:space="preserve">Organisation record for the client</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The report header, passport declarant and Declaration element 2 read from it. Registration numbers per Member State go here.</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Assessor</w:t>
            </w:r>
          </w:p>
        </w:tc>
      </w:tr>
      <w:tr>
        <w:tc>
          <w:tcPr>
            <w:tcW w:type="dxa" w:w="2800"/>
            <w:tcMar>
              <w:top w:type="dxa" w:w="60"/>
              <w:left w:type="dxa" w:w="100"/>
              <w:bottom w:type="dxa" w:w="60"/>
              <w:right w:type="dxa" w:w="100"/>
            </w:tcMar>
          </w:tcPr>
          <w:p>
            <w:pPr>
              <w:spacing w:after="0"/>
            </w:pPr>
            <w:r>
              <w:rPr>
                <w:b w:val="false"/>
                <w:bCs w:val="false"/>
                <w:color w:val="343551"/>
                <w:sz w:val="19"/>
                <w:szCs w:val="19"/>
              </w:rPr>
              <w:t xml:space="preserve">Destination markets and Member States set on the assessment</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Registration and labelling rules apply per market. Missing context yields “More information needed”, not a pass.</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Assessor</w:t>
            </w:r>
          </w:p>
        </w:tc>
      </w:tr>
      <w:tr>
        <w:tc>
          <w:tcPr>
            <w:tcW w:type="dxa" w:w="2800"/>
            <w:tcMar>
              <w:top w:type="dxa" w:w="60"/>
              <w:left w:type="dxa" w:w="100"/>
              <w:bottom w:type="dxa" w:w="60"/>
              <w:right w:type="dxa" w:w="100"/>
            </w:tcMar>
          </w:tcPr>
          <w:p>
            <w:pPr>
              <w:spacing w:after="0"/>
            </w:pPr>
            <w:r>
              <w:rPr>
                <w:b w:val="false"/>
                <w:bCs w:val="false"/>
                <w:color w:val="343551"/>
                <w:sz w:val="19"/>
                <w:szCs w:val="19"/>
              </w:rPr>
              <w:t xml:space="preserve">Emission factors selected for the materials in the pack</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A material without a selected factor is excluded from the footprint and the card says so. Selection is human-only.</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Regulatory owner</w:t>
            </w:r>
          </w:p>
        </w:tc>
      </w:tr>
      <w:tr>
        <w:tc>
          <w:tcPr>
            <w:tcW w:type="dxa" w:w="2800"/>
            <w:tcMar>
              <w:top w:type="dxa" w:w="60"/>
              <w:left w:type="dxa" w:w="100"/>
              <w:bottom w:type="dxa" w:w="60"/>
              <w:right w:type="dxa" w:w="100"/>
            </w:tcMar>
          </w:tcPr>
          <w:p>
            <w:pPr>
              <w:spacing w:after="0"/>
            </w:pPr>
            <w:r>
              <w:rPr>
                <w:b w:val="false"/>
                <w:bCs w:val="false"/>
                <w:color w:val="343551"/>
                <w:sz w:val="19"/>
                <w:szCs w:val="19"/>
              </w:rPr>
              <w:t xml:space="preserve">Guidance rows approved for the evidence types in play</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“How to obtain this” panels and request templates draw on them.</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Regulatory owner</w:t>
            </w:r>
          </w:p>
        </w:tc>
      </w:tr>
      <w:tr>
        <w:tc>
          <w:tcPr>
            <w:tcW w:type="dxa" w:w="2800"/>
            <w:tcMar>
              <w:top w:type="dxa" w:w="60"/>
              <w:left w:type="dxa" w:w="100"/>
              <w:bottom w:type="dxa" w:w="60"/>
              <w:right w:type="dxa" w:w="100"/>
            </w:tcMar>
          </w:tcPr>
          <w:p>
            <w:pPr>
              <w:spacing w:after="0"/>
            </w:pPr>
            <w:r>
              <w:rPr>
                <w:b w:val="false"/>
                <w:bCs w:val="false"/>
                <w:color w:val="343551"/>
                <w:sz w:val="19"/>
                <w:szCs w:val="19"/>
              </w:rPr>
              <w:t xml:space="preserve">Extraction service credentials (Anthropic API)</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Needed only for automatic reading of uploaded documents; manual evidence entry works without it.</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Fitsol ops</w:t>
            </w:r>
          </w:p>
        </w:tc>
      </w:tr>
      <w:tr>
        <w:tc>
          <w:tcPr>
            <w:tcW w:type="dxa" w:w="2800"/>
            <w:tcMar>
              <w:top w:type="dxa" w:w="60"/>
              <w:left w:type="dxa" w:w="100"/>
              <w:bottom w:type="dxa" w:w="60"/>
              <w:right w:type="dxa" w:w="100"/>
            </w:tcMar>
          </w:tcPr>
          <w:p>
            <w:pPr>
              <w:spacing w:after="0"/>
            </w:pPr>
            <w:r>
              <w:rPr>
                <w:b w:val="false"/>
                <w:bCs w:val="false"/>
                <w:color w:val="343551"/>
                <w:sz w:val="19"/>
                <w:szCs w:val="19"/>
              </w:rPr>
              <w:t xml:space="preserve">Access credentials (pilot: shared login)</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The application is gated; the passport pages are public by design.</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Fitsol ops</w:t>
            </w:r>
          </w:p>
        </w:tc>
      </w:tr>
    </w:tbl>
    <w:p>
      <w:pPr>
        <w:pStyle w:val="Heading1"/>
      </w:pPr>
      <w:r>
        <w:t xml:space="preserve">3. Creating a new assessment</w:t>
      </w:r>
    </w:p>
    <w:p>
      <w:pPr>
        <w:pStyle w:val="ListParagraph"/>
        <w:numPr>
          <w:ilvl w:val="0"/>
          <w:numId w:val="2"/>
        </w:numPr>
        <w:spacing w:after="60"/>
      </w:pPr>
      <w:r>
        <w:rPr>
          <w:b/>
          <w:bCs/>
        </w:rPr>
        <w:t xml:space="preserve">Select or create the organisation. </w:t>
      </w:r>
      <w:r>
        <w:t xml:space="preserve">Legal name, trading name, country of establishment, registered address, primary contact, default role. Add EPR registration numbers per Member State under Registrations — scheme, register, number, validity.</w:t>
      </w:r>
    </w:p>
    <w:p>
      <w:pPr>
        <w:pStyle w:val="ListParagraph"/>
        <w:numPr>
          <w:ilvl w:val="0"/>
          <w:numId w:val="2"/>
        </w:numPr>
        <w:spacing w:after="60"/>
      </w:pPr>
      <w:r>
        <w:rPr>
          <w:b/>
          <w:bCs/>
        </w:rPr>
        <w:t xml:space="preserve">Set the assessment context. </w:t>
      </w:r>
      <w:r>
        <w:t xml:space="preserve">Destination markets (EU, IN) and Member States; food contact (drives PFAS); declared reusable; role facts — is the packaging branded, standardised or custom-made, and who defined the specification. These facts derive the legal role; if they point to a party other than you, the Declaration draft is blocked and the reason is shown — unless you record that you act for the manufacturer, or that the manufacturer is established outside the EU (which adds the importer and authorised-representative notes to the draft).</w:t>
      </w:r>
    </w:p>
    <w:p>
      <w:pPr>
        <w:pStyle w:val="ListParagraph"/>
        <w:numPr>
          <w:ilvl w:val="0"/>
          <w:numId w:val="2"/>
        </w:numPr>
        <w:spacing w:after="60"/>
      </w:pPr>
      <w:r>
        <w:rPr>
          <w:b/>
          <w:bCs/>
        </w:rPr>
        <w:t xml:space="preserve">Enter the bill of materials. </w:t>
      </w:r>
      <w:r>
        <w:t xml:space="preserve">One row per component: name, material (corrugated, plastic, solid wood, processed wood, metal), composition, mass in kilograms (0.9, not 900 — an implausible mass for the material triggers a warning), country of origin, producer/supplier, recycled share where declared (leave blank if not stated; a blank is not zero). Enter what is actually on the consignment — photograph it. Corner plates, closure strips and liners that are on the pallet but not on the drawing are the commonest omission.</w:t>
      </w:r>
    </w:p>
    <w:p>
      <w:pPr>
        <w:pStyle w:val="ListParagraph"/>
        <w:numPr>
          <w:ilvl w:val="0"/>
          <w:numId w:val="2"/>
        </w:numPr>
        <w:spacing w:after="60"/>
      </w:pPr>
      <w:r>
        <w:rPr>
          <w:b/>
          <w:bCs/>
        </w:rPr>
        <w:t xml:space="preserve">Attach the evidence you hold. </w:t>
      </w:r>
      <w:r>
        <w:t xml:space="preserve">Per component: evidence type (supplier declaration, test report, lab test, heat-treatment marking, mill declaration, registration, technical file, conformity declaration), issuer name and type, reference, issue and expiry dates, and scope — the product or grade the document actually covers. Upload the file where you have it; the extraction service will read it and propose claims for your confirmation.</w:t>
      </w:r>
    </w:p>
    <w:p>
      <w:pPr>
        <w:pStyle w:val="ListParagraph"/>
        <w:numPr>
          <w:ilvl w:val="0"/>
          <w:numId w:val="2"/>
        </w:numPr>
        <w:spacing w:after="60"/>
      </w:pPr>
      <w:r>
        <w:rPr>
          <w:b/>
          <w:bCs/>
        </w:rPr>
        <w:t xml:space="preserve">Annotate material risk where you have a view. </w:t>
      </w:r>
      <w:r>
        <w:t xml:space="preserve">Optional, per component: “at risk” with a one-line rationale (for example a green pigment on a PET strap). This is a declared human judgement that can turn an evidence-complete rule into “Test required”. Unannotated components default to no inherent risk and the report says so explicitly.</w:t>
      </w:r>
    </w:p>
    <w:p>
      <w:pPr>
        <w:pStyle w:val="ListParagraph"/>
        <w:numPr>
          <w:ilvl w:val="0"/>
          <w:numId w:val="2"/>
        </w:numPr>
        <w:spacing w:after="60"/>
      </w:pPr>
      <w:r>
        <w:rPr>
          <w:b/>
          <w:bCs/>
        </w:rPr>
        <w:t xml:space="preserve">Open the report. </w:t>
      </w:r>
      <w:r>
        <w:t xml:space="preserve">Evaluation runs on load. The corpus release and the emission-factor set are pinned to the assessment at this first evaluation, so the report is reproducible later.</w:t>
      </w:r>
    </w:p>
    <w:p>
      <w:pPr>
        <w:pBdr>
          <w:left w:val="single" w:color="05A070" w:sz="12" w:space="8"/>
        </w:pBdr>
        <w:spacing w:after="160" w:before="80"/>
        <w:ind w:left="360"/>
      </w:pPr>
      <w:r>
        <w:rPr>
          <w:i/>
          <w:iCs/>
          <w:color w:val="4D4F67"/>
          <w:sz w:val="20"/>
          <w:szCs w:val="20"/>
        </w:rPr>
        <w:t xml:space="preserve">Re-running the seed or deleting an assessment discards pins and orphans any passport generated from it. Treat an assessment as an audit artefact: archive, do not delete.</w:t>
      </w:r>
    </w:p>
    <w:p>
      <w:pPr>
        <w:pStyle w:val="Heading1"/>
      </w:pPr>
      <w:r>
        <w:t xml:space="preserve">4. Reading the report</w:t>
      </w:r>
    </w:p>
    <w:p>
      <w:pPr>
        <w:pStyle w:val="Heading2"/>
      </w:pPr>
      <w:r>
        <w:t xml:space="preserve">4.1 Verdicts</w:t>
      </w:r>
    </w:p>
    <w:tbl>
      <w:tblPr>
        <w:tblW w:type="dxa" w:w="9000"/>
        <w:tblBorders>
          <w:top w:val="single" w:color="E6E6E9" w:sz="4"/>
          <w:left w:val="none"/>
          <w:bottom w:val="single" w:color="E6E6E9" w:sz="4"/>
          <w:right w:val="none"/>
          <w:insideH w:val="single" w:color="E6E6E9" w:sz="4"/>
          <w:insideV w:val="none"/>
        </w:tblBorders>
      </w:tblPr>
      <w:tblGrid>
        <w:gridCol w:w="1800"/>
        <w:gridCol w:w="4400"/>
        <w:gridCol w:w="2800"/>
      </w:tblGrid>
      <w:tr>
        <w:trPr>
          <w:tblHeader/>
        </w:trPr>
        <w:tc>
          <w:tcPr>
            <w:tcW w:type="dxa" w:w="1800"/>
            <w:shd w:fill="04524E" w:color="auto" w:val="clear"/>
            <w:tcMar>
              <w:top w:type="dxa" w:w="60"/>
              <w:left w:type="dxa" w:w="100"/>
              <w:bottom w:type="dxa" w:w="60"/>
              <w:right w:type="dxa" w:w="100"/>
            </w:tcMar>
          </w:tcPr>
          <w:p>
            <w:pPr>
              <w:spacing w:after="0"/>
            </w:pPr>
            <w:r>
              <w:rPr>
                <w:b/>
                <w:bCs/>
                <w:color w:val="FFFFFF"/>
                <w:sz w:val="19"/>
                <w:szCs w:val="19"/>
              </w:rPr>
              <w:t xml:space="preserve">Verdict</w:t>
            </w:r>
          </w:p>
        </w:tc>
        <w:tc>
          <w:tcPr>
            <w:tcW w:type="dxa" w:w="4400"/>
            <w:shd w:fill="04524E" w:color="auto" w:val="clear"/>
            <w:tcMar>
              <w:top w:type="dxa" w:w="60"/>
              <w:left w:type="dxa" w:w="100"/>
              <w:bottom w:type="dxa" w:w="60"/>
              <w:right w:type="dxa" w:w="100"/>
            </w:tcMar>
          </w:tcPr>
          <w:p>
            <w:pPr>
              <w:spacing w:after="0"/>
            </w:pPr>
            <w:r>
              <w:rPr>
                <w:b/>
                <w:bCs/>
                <w:color w:val="FFFFFF"/>
                <w:sz w:val="19"/>
                <w:szCs w:val="19"/>
              </w:rPr>
              <w:t xml:space="preserve">Meaning</w:t>
            </w:r>
          </w:p>
        </w:tc>
        <w:tc>
          <w:tcPr>
            <w:tcW w:type="dxa" w:w="2800"/>
            <w:shd w:fill="04524E" w:color="auto" w:val="clear"/>
            <w:tcMar>
              <w:top w:type="dxa" w:w="60"/>
              <w:left w:type="dxa" w:w="100"/>
              <w:bottom w:type="dxa" w:w="60"/>
              <w:right w:type="dxa" w:w="100"/>
            </w:tcMar>
          </w:tcPr>
          <w:p>
            <w:pPr>
              <w:spacing w:after="0"/>
            </w:pPr>
            <w:r>
              <w:rPr>
                <w:b/>
                <w:bCs/>
                <w:color w:val="FFFFFF"/>
                <w:sz w:val="19"/>
                <w:szCs w:val="19"/>
              </w:rPr>
              <w:t xml:space="preserve">What to do</w:t>
            </w:r>
          </w:p>
        </w:tc>
      </w:tr>
      <w:tr>
        <w:tc>
          <w:tcPr>
            <w:tcW w:type="dxa" w:w="1800"/>
            <w:tcMar>
              <w:top w:type="dxa" w:w="60"/>
              <w:left w:type="dxa" w:w="100"/>
              <w:bottom w:type="dxa" w:w="60"/>
              <w:right w:type="dxa" w:w="100"/>
            </w:tcMar>
          </w:tcPr>
          <w:p>
            <w:pPr>
              <w:spacing w:after="0"/>
            </w:pPr>
            <w:r>
              <w:rPr>
                <w:b w:val="false"/>
                <w:bCs w:val="false"/>
                <w:color w:val="343551"/>
                <w:sz w:val="19"/>
                <w:szCs w:val="19"/>
              </w:rPr>
              <w:t xml:space="preserve">Qualified</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The rule applies and the evidence on file satisfies it — right type, in scope, in date, issuer recorded.</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Nothing; the row shows what satisfied it.</w:t>
            </w:r>
          </w:p>
        </w:tc>
      </w:tr>
      <w:tr>
        <w:tc>
          <w:tcPr>
            <w:tcW w:type="dxa" w:w="1800"/>
            <w:tcMar>
              <w:top w:type="dxa" w:w="60"/>
              <w:left w:type="dxa" w:w="100"/>
              <w:bottom w:type="dxa" w:w="60"/>
              <w:right w:type="dxa" w:w="100"/>
            </w:tcMar>
          </w:tcPr>
          <w:p>
            <w:pPr>
              <w:spacing w:after="0"/>
            </w:pPr>
            <w:r>
              <w:rPr>
                <w:b w:val="false"/>
                <w:bCs w:val="false"/>
                <w:color w:val="343551"/>
                <w:sz w:val="19"/>
                <w:szCs w:val="19"/>
              </w:rPr>
              <w:t xml:space="preserve">Conditional</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The rule applies; evidence is missing, expired, out of scope, or a test is required.</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Follow the action: request evidence, add a document, or commission a test.</w:t>
            </w:r>
          </w:p>
        </w:tc>
      </w:tr>
      <w:tr>
        <w:tc>
          <w:tcPr>
            <w:tcW w:type="dxa" w:w="1800"/>
            <w:tcMar>
              <w:top w:type="dxa" w:w="60"/>
              <w:left w:type="dxa" w:w="100"/>
              <w:bottom w:type="dxa" w:w="60"/>
              <w:right w:type="dxa" w:w="100"/>
            </w:tcMar>
          </w:tcPr>
          <w:p>
            <w:pPr>
              <w:spacing w:after="0"/>
            </w:pPr>
            <w:r>
              <w:rPr>
                <w:b w:val="false"/>
                <w:bCs w:val="false"/>
                <w:color w:val="343551"/>
                <w:sz w:val="19"/>
                <w:szCs w:val="19"/>
              </w:rPr>
              <w:t xml:space="preserve">Gap</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The rule applies and cannot currently be satisfied (for example a BOM addition is required).</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Fix the data or the pack; re-evaluate.</w:t>
            </w:r>
          </w:p>
        </w:tc>
      </w:tr>
      <w:tr>
        <w:tc>
          <w:tcPr>
            <w:tcW w:type="dxa" w:w="1800"/>
            <w:tcMar>
              <w:top w:type="dxa" w:w="60"/>
              <w:left w:type="dxa" w:w="100"/>
              <w:bottom w:type="dxa" w:w="60"/>
              <w:right w:type="dxa" w:w="100"/>
            </w:tcMar>
          </w:tcPr>
          <w:p>
            <w:pPr>
              <w:spacing w:after="0"/>
            </w:pPr>
            <w:r>
              <w:rPr>
                <w:b w:val="false"/>
                <w:bCs w:val="false"/>
                <w:color w:val="343551"/>
                <w:sz w:val="19"/>
                <w:szCs w:val="19"/>
              </w:rPr>
              <w:t xml:space="preserve">Not applicable</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The rule does not apply to this pack in this context (wrong market, non-food-contact, processed wood, etc.). The reason is stated.</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Nothing — but read the reason; it depends on the context you entered.</w:t>
            </w:r>
          </w:p>
        </w:tc>
      </w:tr>
      <w:tr>
        <w:tc>
          <w:tcPr>
            <w:tcW w:type="dxa" w:w="1800"/>
            <w:tcMar>
              <w:top w:type="dxa" w:w="60"/>
              <w:left w:type="dxa" w:w="100"/>
              <w:bottom w:type="dxa" w:w="60"/>
              <w:right w:type="dxa" w:w="100"/>
            </w:tcMar>
          </w:tcPr>
          <w:p>
            <w:pPr>
              <w:spacing w:after="0"/>
            </w:pPr>
            <w:r>
              <w:rPr>
                <w:b w:val="false"/>
                <w:bCs w:val="false"/>
                <w:color w:val="343551"/>
                <w:sz w:val="19"/>
                <w:szCs w:val="19"/>
              </w:rPr>
              <w:t xml:space="preserve">Upcoming</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The rule is in force but its trigger date is in the future (recyclability grades, recycled content, green claims).</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Plan for it; it never blocks anything today.</w:t>
            </w:r>
          </w:p>
        </w:tc>
      </w:tr>
      <w:tr>
        <w:tc>
          <w:tcPr>
            <w:tcW w:type="dxa" w:w="1800"/>
            <w:tcMar>
              <w:top w:type="dxa" w:w="60"/>
              <w:left w:type="dxa" w:w="100"/>
              <w:bottom w:type="dxa" w:w="60"/>
              <w:right w:type="dxa" w:w="100"/>
            </w:tcMar>
          </w:tcPr>
          <w:p>
            <w:pPr>
              <w:spacing w:after="0"/>
            </w:pPr>
            <w:r>
              <w:rPr>
                <w:b w:val="false"/>
                <w:bCs w:val="false"/>
                <w:color w:val="343551"/>
                <w:sz w:val="19"/>
                <w:szCs w:val="19"/>
              </w:rPr>
              <w:t xml:space="preserve">More information needed</w:t>
            </w:r>
          </w:p>
        </w:tc>
        <w:tc>
          <w:tcPr>
            <w:tcW w:type="dxa" w:w="4400"/>
            <w:tcMar>
              <w:top w:type="dxa" w:w="60"/>
              <w:left w:type="dxa" w:w="100"/>
              <w:bottom w:type="dxa" w:w="60"/>
              <w:right w:type="dxa" w:w="100"/>
            </w:tcMar>
          </w:tcPr>
          <w:p>
            <w:pPr>
              <w:spacing w:after="0"/>
            </w:pPr>
            <w:r>
              <w:rPr>
                <w:b w:val="false"/>
                <w:bCs w:val="false"/>
                <w:color w:val="343551"/>
                <w:sz w:val="19"/>
                <w:szCs w:val="19"/>
              </w:rPr>
              <w:t xml:space="preserve">A rule cannot be evaluated because the context lacks a fact it needs (for example destination Member States).</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Add the missing context.</w:t>
            </w:r>
          </w:p>
        </w:tc>
      </w:tr>
    </w:tbl>
    <w:p>
      <w:pPr>
        <w:pStyle w:val="Heading2"/>
      </w:pPr>
      <w:r>
        <w:t xml:space="preserve">4.2 Sections</w:t>
      </w:r>
    </w:p>
    <w:p>
      <w:pPr>
        <w:pStyle w:val="ListParagraph"/>
        <w:numPr>
          <w:ilvl w:val="0"/>
          <w:numId w:val="3"/>
        </w:numPr>
        <w:spacing w:after="60"/>
      </w:pPr>
      <w:r>
        <w:rPr>
          <w:b/>
          <w:bCs/>
        </w:rPr>
        <w:t xml:space="preserve">Summary counts </w:t>
      </w:r>
      <w:r>
        <w:t xml:space="preserve">— per rule-evaluation on the report; per rule on the passport. The corpus line names the release(s) evaluated against and the as-of date.</w:t>
      </w:r>
    </w:p>
    <w:p>
      <w:pPr>
        <w:pStyle w:val="ListParagraph"/>
        <w:numPr>
          <w:ilvl w:val="0"/>
          <w:numId w:val="3"/>
        </w:numPr>
        <w:spacing w:after="60"/>
      </w:pPr>
      <w:r>
        <w:rPr>
          <w:b/>
          <w:bCs/>
        </w:rPr>
        <w:t xml:space="preserve">Components </w:t>
      </w:r>
      <w:r>
        <w:t xml:space="preserve">— one table per component; one row per applicable rule: rule, verdict, why, evidence relied on, citation (linked to the primary source), action. Expand a row for the full requirement text, thresholds, exemptions and phase-in.</w:t>
      </w:r>
    </w:p>
    <w:p>
      <w:pPr>
        <w:pStyle w:val="ListParagraph"/>
        <w:numPr>
          <w:ilvl w:val="0"/>
          <w:numId w:val="3"/>
        </w:numPr>
        <w:spacing w:after="60"/>
      </w:pPr>
      <w:r>
        <w:rPr>
          <w:b/>
          <w:bCs/>
        </w:rPr>
        <w:t xml:space="preserve">Packaging unit </w:t>
      </w:r>
      <w:r>
        <w:t xml:space="preserve">— rules about the unit as a whole: technical documentation, operator identification, the Declaration itself, transitional-stock treatment.</w:t>
      </w:r>
    </w:p>
    <w:p>
      <w:pPr>
        <w:pStyle w:val="ListParagraph"/>
        <w:numPr>
          <w:ilvl w:val="0"/>
          <w:numId w:val="3"/>
        </w:numPr>
        <w:spacing w:after="60"/>
      </w:pPr>
      <w:r>
        <w:rPr>
          <w:b/>
          <w:bCs/>
        </w:rPr>
        <w:t xml:space="preserve">Organisation </w:t>
      </w:r>
      <w:r>
        <w:t xml:space="preserve">— producer registration per destination Member State; India EPR registration and targets where India is a destination.</w:t>
      </w:r>
    </w:p>
    <w:p>
      <w:pPr>
        <w:pStyle w:val="ListParagraph"/>
        <w:numPr>
          <w:ilvl w:val="0"/>
          <w:numId w:val="3"/>
        </w:numPr>
        <w:spacing w:after="60"/>
      </w:pPr>
      <w:r>
        <w:rPr>
          <w:b/>
          <w:bCs/>
        </w:rPr>
        <w:t xml:space="preserve">Footprint </w:t>
      </w:r>
      <w:r>
        <w:t xml:space="preserve">— screening-grade cradle-to-gate estimate per component and total; each row names dataset, region, year and tier (primary Fitsol data, or a secondary public database). A material with no selected factor is excluded and the card says so. Where a component declares a recycled share and a closed-loop factor has been selected for its material, the factor is blended: primary × (1 − share) + closed-loop × share, and the card shows both sources and the share.</w:t>
      </w:r>
    </w:p>
    <w:p>
      <w:pPr>
        <w:pStyle w:val="ListParagraph"/>
        <w:numPr>
          <w:ilvl w:val="0"/>
          <w:numId w:val="3"/>
        </w:numPr>
        <w:spacing w:after="60"/>
      </w:pPr>
      <w:r>
        <w:rPr>
          <w:b/>
          <w:bCs/>
        </w:rPr>
        <w:t xml:space="preserve">Calendar </w:t>
      </w:r>
      <w:r>
        <w:t xml:space="preserve">— recurring obligations with cadence; where the corpus has no statutory due date the row says so rather than inventing one.</w:t>
      </w:r>
    </w:p>
    <w:p>
      <w:pPr>
        <w:pStyle w:val="ListParagraph"/>
        <w:numPr>
          <w:ilvl w:val="0"/>
          <w:numId w:val="3"/>
        </w:numPr>
        <w:spacing w:after="60"/>
      </w:pPr>
      <w:r>
        <w:rPr>
          <w:b/>
          <w:bCs/>
        </w:rPr>
        <w:t xml:space="preserve">Draft Declaration of Conformity </w:t>
      </w:r>
      <w:r>
        <w:t xml:space="preserve">— appears enabled only when every applicable in-force rule is Qualified, the technical-documentation rule is satisfied, and the manufacturer role is unambiguous. Otherwise the button is disabled and lists the exact blockers.</w:t>
      </w:r>
    </w:p>
    <w:p>
      <w:pPr>
        <w:pStyle w:val="Heading2"/>
      </w:pPr>
      <w:r>
        <w:t xml:space="preserve">4.3 Reading the evidence chips</w:t>
      </w:r>
    </w:p>
    <w:p>
      <w:pPr>
        <w:spacing w:after="100"/>
      </w:pPr>
      <w:r>
        <w:t xml:space="preserve">Each chip opens a drawer. For uploaded or extracted documents: a preview, the extraction status, and the provenance snippet each value was read from. For manual records: the record itself — type, issuer, reference, dates, scope, who entered it. A chip you cannot open is not evidence.</w:t>
      </w:r>
    </w:p>
    <w:p>
      <w:pPr>
        <w:pStyle w:val="Heading1"/>
      </w:pPr>
      <w:r>
        <w:t xml:space="preserve">5. Validating each proof — what to check before you confirm</w:t>
      </w:r>
    </w:p>
    <w:p>
      <w:pPr>
        <w:spacing w:after="100"/>
      </w:pPr>
      <w:r>
        <w:t xml:space="preserve">Confirming evidence is a human act with consequences: a confirmed claim can turn a rule Qualified. Before confirming, check the four universal conditions, then the type-specific ones.</w:t>
      </w:r>
    </w:p>
    <w:p>
      <w:pPr>
        <w:pStyle w:val="Heading2"/>
      </w:pPr>
      <w:r>
        <w:t xml:space="preserve">5.1 The four universal checks</w:t>
      </w:r>
    </w:p>
    <w:p>
      <w:pPr>
        <w:pStyle w:val="ListParagraph"/>
        <w:numPr>
          <w:ilvl w:val="0"/>
          <w:numId w:val="2"/>
        </w:numPr>
        <w:spacing w:after="60"/>
      </w:pPr>
      <w:r>
        <w:rPr>
          <w:b/>
          <w:bCs/>
        </w:rPr>
        <w:t xml:space="preserve">Scope: </w:t>
      </w:r>
      <w:r>
        <w:t xml:space="preserve">does the document name this component’s product or grade? A declaration for “Kraft Liner 175 GSM” does not cover a 5-ply corrugated sheet. The engine flags scope mismatches it can detect; you catch the rest.</w:t>
      </w:r>
    </w:p>
    <w:p>
      <w:pPr>
        <w:pStyle w:val="ListParagraph"/>
        <w:numPr>
          <w:ilvl w:val="0"/>
          <w:numId w:val="2"/>
        </w:numPr>
        <w:spacing w:after="60"/>
      </w:pPr>
      <w:r>
        <w:rPr>
          <w:b/>
          <w:bCs/>
        </w:rPr>
        <w:t xml:space="preserve">Validity: </w:t>
      </w:r>
      <w:r>
        <w:t xml:space="preserve">is it in date? Expired documents are flagged; documents with no validity stated need the issuer to confirm one.</w:t>
      </w:r>
    </w:p>
    <w:p>
      <w:pPr>
        <w:pStyle w:val="ListParagraph"/>
        <w:numPr>
          <w:ilvl w:val="0"/>
          <w:numId w:val="2"/>
        </w:numPr>
        <w:spacing w:after="60"/>
      </w:pPr>
      <w:r>
        <w:rPr>
          <w:b/>
          <w:bCs/>
        </w:rPr>
        <w:t xml:space="preserve">Issuer: </w:t>
      </w:r>
      <w:r>
        <w:t xml:space="preserve">is the issuer the manufacturer, an accredited laboratory, a treatment provider or a mill — not a trader restating an upstream claim? Trader-issued documents are not attestations.</w:t>
      </w:r>
    </w:p>
    <w:p>
      <w:pPr>
        <w:pStyle w:val="ListParagraph"/>
        <w:numPr>
          <w:ilvl w:val="0"/>
          <w:numId w:val="2"/>
        </w:numPr>
        <w:spacing w:after="60"/>
      </w:pPr>
      <w:r>
        <w:rPr>
          <w:b/>
          <w:bCs/>
        </w:rPr>
        <w:t xml:space="preserve">Standard: </w:t>
      </w:r>
      <w:r>
        <w:t xml:space="preserve">does it cite the right limit against the right rule? “Complies with RoHS” is not a packaging heavy-metals statement. Per-metal figures without the required sum do not satisfy the PPWR limit.</w:t>
      </w:r>
    </w:p>
    <w:p>
      <w:pPr>
        <w:pStyle w:val="Heading2"/>
      </w:pPr>
      <w:r>
        <w:t xml:space="preserve">5.2 By evidence type</w:t>
      </w:r>
    </w:p>
    <w:tbl>
      <w:tblPr>
        <w:tblW w:type="dxa" w:w="9000"/>
        <w:tblBorders>
          <w:top w:val="single" w:color="E6E6E9" w:sz="4"/>
          <w:left w:val="none"/>
          <w:bottom w:val="single" w:color="E6E6E9" w:sz="4"/>
          <w:right w:val="none"/>
          <w:insideH w:val="single" w:color="E6E6E9" w:sz="4"/>
          <w:insideV w:val="none"/>
        </w:tblBorders>
      </w:tblPr>
      <w:tblGrid>
        <w:gridCol w:w="1900"/>
        <w:gridCol w:w="1900"/>
        <w:gridCol w:w="2900"/>
        <w:gridCol w:w="2300"/>
      </w:tblGrid>
      <w:tr>
        <w:trPr>
          <w:tblHeader/>
        </w:trPr>
        <w:tc>
          <w:tcPr>
            <w:tcW w:type="dxa" w:w="1900"/>
            <w:shd w:fill="04524E" w:color="auto" w:val="clear"/>
            <w:tcMar>
              <w:top w:type="dxa" w:w="60"/>
              <w:left w:type="dxa" w:w="100"/>
              <w:bottom w:type="dxa" w:w="60"/>
              <w:right w:type="dxa" w:w="100"/>
            </w:tcMar>
          </w:tcPr>
          <w:p>
            <w:pPr>
              <w:spacing w:after="0"/>
            </w:pPr>
            <w:r>
              <w:rPr>
                <w:b/>
                <w:bCs/>
                <w:color w:val="FFFFFF"/>
                <w:sz w:val="19"/>
                <w:szCs w:val="19"/>
              </w:rPr>
              <w:t xml:space="preserve">Evidence type</w:t>
            </w:r>
          </w:p>
        </w:tc>
        <w:tc>
          <w:tcPr>
            <w:tcW w:type="dxa" w:w="1900"/>
            <w:shd w:fill="04524E" w:color="auto" w:val="clear"/>
            <w:tcMar>
              <w:top w:type="dxa" w:w="60"/>
              <w:left w:type="dxa" w:w="100"/>
              <w:bottom w:type="dxa" w:w="60"/>
              <w:right w:type="dxa" w:w="100"/>
            </w:tcMar>
          </w:tcPr>
          <w:p>
            <w:pPr>
              <w:spacing w:after="0"/>
            </w:pPr>
            <w:r>
              <w:rPr>
                <w:b/>
                <w:bCs/>
                <w:color w:val="FFFFFF"/>
                <w:sz w:val="19"/>
                <w:szCs w:val="19"/>
              </w:rPr>
              <w:t xml:space="preserve">Issued by</w:t>
            </w:r>
          </w:p>
        </w:tc>
        <w:tc>
          <w:tcPr>
            <w:tcW w:type="dxa" w:w="2900"/>
            <w:shd w:fill="04524E" w:color="auto" w:val="clear"/>
            <w:tcMar>
              <w:top w:type="dxa" w:w="60"/>
              <w:left w:type="dxa" w:w="100"/>
              <w:bottom w:type="dxa" w:w="60"/>
              <w:right w:type="dxa" w:w="100"/>
            </w:tcMar>
          </w:tcPr>
          <w:p>
            <w:pPr>
              <w:spacing w:after="0"/>
            </w:pPr>
            <w:r>
              <w:rPr>
                <w:b/>
                <w:bCs/>
                <w:color w:val="FFFFFF"/>
                <w:sz w:val="19"/>
                <w:szCs w:val="19"/>
              </w:rPr>
              <w:t xml:space="preserve">Must contain</w:t>
            </w:r>
          </w:p>
        </w:tc>
        <w:tc>
          <w:tcPr>
            <w:tcW w:type="dxa" w:w="2300"/>
            <w:shd w:fill="04524E" w:color="auto" w:val="clear"/>
            <w:tcMar>
              <w:top w:type="dxa" w:w="60"/>
              <w:left w:type="dxa" w:w="100"/>
              <w:bottom w:type="dxa" w:w="60"/>
              <w:right w:type="dxa" w:w="100"/>
            </w:tcMar>
          </w:tcPr>
          <w:p>
            <w:pPr>
              <w:spacing w:after="0"/>
            </w:pPr>
            <w:r>
              <w:rPr>
                <w:b/>
                <w:bCs/>
                <w:color w:val="FFFFFF"/>
                <w:sz w:val="19"/>
                <w:szCs w:val="19"/>
              </w:rPr>
              <w:t xml:space="preserve">Red flags</w:t>
            </w:r>
          </w:p>
        </w:tc>
      </w:tr>
      <w:tr>
        <w:tc>
          <w:tcPr>
            <w:tcW w:type="dxa" w:w="1900"/>
            <w:tcMar>
              <w:top w:type="dxa" w:w="60"/>
              <w:left w:type="dxa" w:w="100"/>
              <w:bottom w:type="dxa" w:w="60"/>
              <w:right w:type="dxa" w:w="100"/>
            </w:tcMar>
          </w:tcPr>
          <w:p>
            <w:pPr>
              <w:spacing w:after="0"/>
            </w:pPr>
            <w:r>
              <w:rPr>
                <w:b w:val="false"/>
                <w:bCs w:val="false"/>
                <w:color w:val="343551"/>
                <w:sz w:val="19"/>
                <w:szCs w:val="19"/>
              </w:rPr>
              <w:t xml:space="preserve">Supplier declaration (heavy metals, SoC)</w:t>
            </w:r>
          </w:p>
        </w:tc>
        <w:tc>
          <w:tcPr>
            <w:tcW w:type="dxa" w:w="1900"/>
            <w:tcMar>
              <w:top w:type="dxa" w:w="60"/>
              <w:left w:type="dxa" w:w="100"/>
              <w:bottom w:type="dxa" w:w="60"/>
              <w:right w:type="dxa" w:w="100"/>
            </w:tcMar>
          </w:tcPr>
          <w:p>
            <w:pPr>
              <w:spacing w:after="0"/>
            </w:pPr>
            <w:r>
              <w:rPr>
                <w:b w:val="false"/>
                <w:bCs w:val="false"/>
                <w:color w:val="343551"/>
                <w:sz w:val="19"/>
                <w:szCs w:val="19"/>
              </w:rPr>
              <w:t xml:space="preserve">Component material supplier’s QA — mill, resin or masterbatch producer, fastener maker</w:t>
            </w:r>
          </w:p>
        </w:tc>
        <w:tc>
          <w:tcPr>
            <w:tcW w:type="dxa" w:w="2900"/>
            <w:tcMar>
              <w:top w:type="dxa" w:w="60"/>
              <w:left w:type="dxa" w:w="100"/>
              <w:bottom w:type="dxa" w:w="60"/>
              <w:right w:type="dxa" w:w="100"/>
            </w:tcMar>
          </w:tcPr>
          <w:p>
            <w:pPr>
              <w:spacing w:after="0"/>
            </w:pPr>
            <w:r>
              <w:rPr>
                <w:b w:val="false"/>
                <w:bCs w:val="false"/>
                <w:color w:val="343551"/>
                <w:sz w:val="19"/>
                <w:szCs w:val="19"/>
              </w:rPr>
              <w:t xml:space="preserve">Product/grade; the 100 mg/kg SUM limit for Pb+Cd+Hg+Cr(VI) citing Reg. 2025/40 Art. 5; assessment basis CR 13695-1:2000; date, validity, signatory</w:t>
            </w:r>
          </w:p>
        </w:tc>
        <w:tc>
          <w:tcPr>
            <w:tcW w:type="dxa" w:w="2300"/>
            <w:tcMar>
              <w:top w:type="dxa" w:w="60"/>
              <w:left w:type="dxa" w:w="100"/>
              <w:bottom w:type="dxa" w:w="60"/>
              <w:right w:type="dxa" w:w="100"/>
            </w:tcMar>
          </w:tcPr>
          <w:p>
            <w:pPr>
              <w:spacing w:after="0"/>
            </w:pPr>
            <w:r>
              <w:rPr>
                <w:b w:val="false"/>
                <w:bCs w:val="false"/>
                <w:color w:val="343551"/>
                <w:sz w:val="19"/>
                <w:szCs w:val="19"/>
              </w:rPr>
              <w:t xml:space="preserve">Per-metal limits only; RoHS wording; trader letterhead; no grade named; “0.01 %” where 100 mg/kg is the limit (equal to the limit, not below it)</w:t>
            </w:r>
          </w:p>
        </w:tc>
      </w:tr>
      <w:tr>
        <w:tc>
          <w:tcPr>
            <w:tcW w:type="dxa" w:w="1900"/>
            <w:tcMar>
              <w:top w:type="dxa" w:w="60"/>
              <w:left w:type="dxa" w:w="100"/>
              <w:bottom w:type="dxa" w:w="60"/>
              <w:right w:type="dxa" w:w="100"/>
            </w:tcMar>
          </w:tcPr>
          <w:p>
            <w:pPr>
              <w:spacing w:after="0"/>
            </w:pPr>
            <w:r>
              <w:rPr>
                <w:b w:val="false"/>
                <w:bCs w:val="false"/>
                <w:color w:val="343551"/>
                <w:sz w:val="19"/>
                <w:szCs w:val="19"/>
              </w:rPr>
              <w:t xml:space="preserve">Laboratory test report</w:t>
            </w:r>
          </w:p>
        </w:tc>
        <w:tc>
          <w:tcPr>
            <w:tcW w:type="dxa" w:w="1900"/>
            <w:tcMar>
              <w:top w:type="dxa" w:w="60"/>
              <w:left w:type="dxa" w:w="100"/>
              <w:bottom w:type="dxa" w:w="60"/>
              <w:right w:type="dxa" w:w="100"/>
            </w:tcMar>
          </w:tcPr>
          <w:p>
            <w:pPr>
              <w:spacing w:after="0"/>
            </w:pPr>
            <w:r>
              <w:rPr>
                <w:b w:val="false"/>
                <w:bCs w:val="false"/>
                <w:color w:val="343551"/>
                <w:sz w:val="19"/>
                <w:szCs w:val="19"/>
              </w:rPr>
              <w:t xml:space="preserve">NABL / ILAC-accredited laboratory</w:t>
            </w:r>
          </w:p>
        </w:tc>
        <w:tc>
          <w:tcPr>
            <w:tcW w:type="dxa" w:w="2900"/>
            <w:tcMar>
              <w:top w:type="dxa" w:w="60"/>
              <w:left w:type="dxa" w:w="100"/>
              <w:bottom w:type="dxa" w:w="60"/>
              <w:right w:type="dxa" w:w="100"/>
            </w:tcMar>
          </w:tcPr>
          <w:p>
            <w:pPr>
              <w:spacing w:after="0"/>
            </w:pPr>
            <w:r>
              <w:rPr>
                <w:b w:val="false"/>
                <w:bCs w:val="false"/>
                <w:color w:val="343551"/>
                <w:sz w:val="19"/>
                <w:szCs w:val="19"/>
              </w:rPr>
              <w:t xml:space="preserve">Accreditation number; sample identification matching your component; method (XRF screening confirmed by CR 13695-1:2000); per-metal results with detection limits; a computed sum; signatory</w:t>
            </w:r>
          </w:p>
        </w:tc>
        <w:tc>
          <w:tcPr>
            <w:tcW w:type="dxa" w:w="2300"/>
            <w:tcMar>
              <w:top w:type="dxa" w:w="60"/>
              <w:left w:type="dxa" w:w="100"/>
              <w:bottom w:type="dxa" w:w="60"/>
              <w:right w:type="dxa" w:w="100"/>
            </w:tcMar>
          </w:tcPr>
          <w:p>
            <w:pPr>
              <w:spacing w:after="0"/>
            </w:pPr>
            <w:r>
              <w:rPr>
                <w:b w:val="false"/>
                <w:bCs w:val="false"/>
                <w:color w:val="343551"/>
                <w:sz w:val="19"/>
                <w:szCs w:val="19"/>
              </w:rPr>
              <w:t xml:space="preserve">No accreditation number; results as “&lt;LOD” or “ND” converted to zero; sample not traceable to your component</w:t>
            </w:r>
          </w:p>
        </w:tc>
      </w:tr>
      <w:tr>
        <w:tc>
          <w:tcPr>
            <w:tcW w:type="dxa" w:w="1900"/>
            <w:tcMar>
              <w:top w:type="dxa" w:w="60"/>
              <w:left w:type="dxa" w:w="100"/>
              <w:bottom w:type="dxa" w:w="60"/>
              <w:right w:type="dxa" w:w="100"/>
            </w:tcMar>
          </w:tcPr>
          <w:p>
            <w:pPr>
              <w:spacing w:after="0"/>
            </w:pPr>
            <w:r>
              <w:rPr>
                <w:b w:val="false"/>
                <w:bCs w:val="false"/>
                <w:color w:val="343551"/>
                <w:sz w:val="19"/>
                <w:szCs w:val="19"/>
              </w:rPr>
              <w:t xml:space="preserve">Heat-treatment (ISPM 15) marking / certificate</w:t>
            </w:r>
          </w:p>
        </w:tc>
        <w:tc>
          <w:tcPr>
            <w:tcW w:type="dxa" w:w="1900"/>
            <w:tcMar>
              <w:top w:type="dxa" w:w="60"/>
              <w:left w:type="dxa" w:w="100"/>
              <w:bottom w:type="dxa" w:w="60"/>
              <w:right w:type="dxa" w:w="100"/>
            </w:tcMar>
          </w:tcPr>
          <w:p>
            <w:pPr>
              <w:spacing w:after="0"/>
            </w:pPr>
            <w:r>
              <w:rPr>
                <w:b w:val="false"/>
                <w:bCs w:val="false"/>
                <w:color w:val="343551"/>
                <w:sz w:val="19"/>
                <w:szCs w:val="19"/>
              </w:rPr>
              <w:t xml:space="preserve">Accredited wood-treatment provider</w:t>
            </w:r>
          </w:p>
        </w:tc>
        <w:tc>
          <w:tcPr>
            <w:tcW w:type="dxa" w:w="2900"/>
            <w:tcMar>
              <w:top w:type="dxa" w:w="60"/>
              <w:left w:type="dxa" w:w="100"/>
              <w:bottom w:type="dxa" w:w="60"/>
              <w:right w:type="dxa" w:w="100"/>
            </w:tcMar>
          </w:tcPr>
          <w:p>
            <w:pPr>
              <w:spacing w:after="0"/>
            </w:pPr>
            <w:r>
              <w:rPr>
                <w:b w:val="false"/>
                <w:bCs w:val="false"/>
                <w:color w:val="343551"/>
                <w:sz w:val="19"/>
                <w:szCs w:val="19"/>
              </w:rPr>
              <w:t xml:space="preserve">IPPC mark with country code, producer code and HT; treatment parameters (56 °C core, 30 min); lot; date; validity</w:t>
            </w:r>
          </w:p>
        </w:tc>
        <w:tc>
          <w:tcPr>
            <w:tcW w:type="dxa" w:w="2300"/>
            <w:tcMar>
              <w:top w:type="dxa" w:w="60"/>
              <w:left w:type="dxa" w:w="100"/>
              <w:bottom w:type="dxa" w:w="60"/>
              <w:right w:type="dxa" w:w="100"/>
            </w:tcMar>
          </w:tcPr>
          <w:p>
            <w:pPr>
              <w:spacing w:after="0"/>
            </w:pPr>
            <w:r>
              <w:rPr>
                <w:b w:val="false"/>
                <w:bCs w:val="false"/>
                <w:color w:val="343551"/>
                <w:sz w:val="19"/>
                <w:szCs w:val="19"/>
              </w:rPr>
              <w:t xml:space="preserve">Mark on plywood or presswood (exempt — should not be there); illegible mark; certificate without lot reference</w:t>
            </w:r>
          </w:p>
        </w:tc>
      </w:tr>
      <w:tr>
        <w:tc>
          <w:tcPr>
            <w:tcW w:type="dxa" w:w="1900"/>
            <w:tcMar>
              <w:top w:type="dxa" w:w="60"/>
              <w:left w:type="dxa" w:w="100"/>
              <w:bottom w:type="dxa" w:w="60"/>
              <w:right w:type="dxa" w:w="100"/>
            </w:tcMar>
          </w:tcPr>
          <w:p>
            <w:pPr>
              <w:spacing w:after="0"/>
            </w:pPr>
            <w:r>
              <w:rPr>
                <w:b w:val="false"/>
                <w:bCs w:val="false"/>
                <w:color w:val="343551"/>
                <w:sz w:val="19"/>
                <w:szCs w:val="19"/>
              </w:rPr>
              <w:t xml:space="preserve">Mill declaration (corrugated, kraft)</w:t>
            </w:r>
          </w:p>
        </w:tc>
        <w:tc>
          <w:tcPr>
            <w:tcW w:type="dxa" w:w="1900"/>
            <w:tcMar>
              <w:top w:type="dxa" w:w="60"/>
              <w:left w:type="dxa" w:w="100"/>
              <w:bottom w:type="dxa" w:w="60"/>
              <w:right w:type="dxa" w:w="100"/>
            </w:tcMar>
          </w:tcPr>
          <w:p>
            <w:pPr>
              <w:spacing w:after="0"/>
            </w:pPr>
            <w:r>
              <w:rPr>
                <w:b w:val="false"/>
                <w:bCs w:val="false"/>
                <w:color w:val="343551"/>
                <w:sz w:val="19"/>
                <w:szCs w:val="19"/>
              </w:rPr>
              <w:t xml:space="preserve">The paper mill</w:t>
            </w:r>
          </w:p>
        </w:tc>
        <w:tc>
          <w:tcPr>
            <w:tcW w:type="dxa" w:w="2900"/>
            <w:tcMar>
              <w:top w:type="dxa" w:w="60"/>
              <w:left w:type="dxa" w:w="100"/>
              <w:bottom w:type="dxa" w:w="60"/>
              <w:right w:type="dxa" w:w="100"/>
            </w:tcMar>
          </w:tcPr>
          <w:p>
            <w:pPr>
              <w:spacing w:after="0"/>
            </w:pPr>
            <w:r>
              <w:rPr>
                <w:b w:val="false"/>
                <w:bCs w:val="false"/>
                <w:color w:val="343551"/>
                <w:sz w:val="19"/>
                <w:szCs w:val="19"/>
              </w:rPr>
              <w:t xml:space="preserve">Grade and grammage; furnish (virgin/recycled share); inks, adhesives and coatings statement; heavy-metals statement; EN 13428 Annex C reference where SoC minimisation is claimed</w:t>
            </w:r>
          </w:p>
        </w:tc>
        <w:tc>
          <w:tcPr>
            <w:tcW w:type="dxa" w:w="2300"/>
            <w:tcMar>
              <w:top w:type="dxa" w:w="60"/>
              <w:left w:type="dxa" w:w="100"/>
              <w:bottom w:type="dxa" w:w="60"/>
              <w:right w:type="dxa" w:w="100"/>
            </w:tcMar>
          </w:tcPr>
          <w:p>
            <w:pPr>
              <w:spacing w:after="0"/>
            </w:pPr>
            <w:r>
              <w:rPr>
                <w:b w:val="false"/>
                <w:bCs w:val="false"/>
                <w:color w:val="343551"/>
                <w:sz w:val="19"/>
                <w:szCs w:val="19"/>
              </w:rPr>
              <w:t xml:space="preserve">No grammage; no inks/adhesives statement; recycled share unstated when claimed elsewhere</w:t>
            </w:r>
          </w:p>
        </w:tc>
      </w:tr>
      <w:tr>
        <w:tc>
          <w:tcPr>
            <w:tcW w:type="dxa" w:w="1900"/>
            <w:tcMar>
              <w:top w:type="dxa" w:w="60"/>
              <w:left w:type="dxa" w:w="100"/>
              <w:bottom w:type="dxa" w:w="60"/>
              <w:right w:type="dxa" w:w="100"/>
            </w:tcMar>
          </w:tcPr>
          <w:p>
            <w:pPr>
              <w:spacing w:after="0"/>
            </w:pPr>
            <w:r>
              <w:rPr>
                <w:b w:val="false"/>
                <w:bCs w:val="false"/>
                <w:color w:val="343551"/>
                <w:sz w:val="19"/>
                <w:szCs w:val="19"/>
              </w:rPr>
              <w:t xml:space="preserve">Producer registration</w:t>
            </w:r>
          </w:p>
        </w:tc>
        <w:tc>
          <w:tcPr>
            <w:tcW w:type="dxa" w:w="1900"/>
            <w:tcMar>
              <w:top w:type="dxa" w:w="60"/>
              <w:left w:type="dxa" w:w="100"/>
              <w:bottom w:type="dxa" w:w="60"/>
              <w:right w:type="dxa" w:w="100"/>
            </w:tcMar>
          </w:tcPr>
          <w:p>
            <w:pPr>
              <w:spacing w:after="0"/>
            </w:pPr>
            <w:r>
              <w:rPr>
                <w:b w:val="false"/>
                <w:bCs w:val="false"/>
                <w:color w:val="343551"/>
                <w:sz w:val="19"/>
                <w:szCs w:val="19"/>
              </w:rPr>
              <w:t xml:space="preserve">The register itself (LUCID, SYDEREP, RPP, RENAP/CONAI route, Verpact, BDO, CPCB portal)</w:t>
            </w:r>
          </w:p>
        </w:tc>
        <w:tc>
          <w:tcPr>
            <w:tcW w:type="dxa" w:w="2900"/>
            <w:tcMar>
              <w:top w:type="dxa" w:w="60"/>
              <w:left w:type="dxa" w:w="100"/>
              <w:bottom w:type="dxa" w:w="60"/>
              <w:right w:type="dxa" w:w="100"/>
            </w:tcMar>
          </w:tcPr>
          <w:p>
            <w:pPr>
              <w:spacing w:after="0"/>
            </w:pPr>
            <w:r>
              <w:rPr>
                <w:b w:val="false"/>
                <w:bCs w:val="false"/>
                <w:color w:val="343551"/>
                <w:sz w:val="19"/>
                <w:szCs w:val="19"/>
              </w:rPr>
              <w:t xml:space="preserve">Registration number, scheme, Member State, validity; matches the organisation’s legal name</w:t>
            </w:r>
          </w:p>
        </w:tc>
        <w:tc>
          <w:tcPr>
            <w:tcW w:type="dxa" w:w="2300"/>
            <w:tcMar>
              <w:top w:type="dxa" w:w="60"/>
              <w:left w:type="dxa" w:w="100"/>
              <w:bottom w:type="dxa" w:w="60"/>
              <w:right w:type="dxa" w:w="100"/>
            </w:tcMar>
          </w:tcPr>
          <w:p>
            <w:pPr>
              <w:spacing w:after="0"/>
            </w:pPr>
            <w:r>
              <w:rPr>
                <w:b w:val="false"/>
                <w:bCs w:val="false"/>
                <w:color w:val="343551"/>
                <w:sz w:val="19"/>
                <w:szCs w:val="19"/>
              </w:rPr>
              <w:t xml:space="preserve">PRO membership number presented as the national register number (Italy, France); expired or wrong-entity numbers</w:t>
            </w:r>
          </w:p>
        </w:tc>
      </w:tr>
      <w:tr>
        <w:tc>
          <w:tcPr>
            <w:tcW w:type="dxa" w:w="1900"/>
            <w:tcMar>
              <w:top w:type="dxa" w:w="60"/>
              <w:left w:type="dxa" w:w="100"/>
              <w:bottom w:type="dxa" w:w="60"/>
              <w:right w:type="dxa" w:w="100"/>
            </w:tcMar>
          </w:tcPr>
          <w:p>
            <w:pPr>
              <w:spacing w:after="0"/>
            </w:pPr>
            <w:r>
              <w:rPr>
                <w:b w:val="false"/>
                <w:bCs w:val="false"/>
                <w:color w:val="343551"/>
                <w:sz w:val="19"/>
                <w:szCs w:val="19"/>
              </w:rPr>
              <w:t xml:space="preserve">Technical file</w:t>
            </w:r>
          </w:p>
        </w:tc>
        <w:tc>
          <w:tcPr>
            <w:tcW w:type="dxa" w:w="1900"/>
            <w:tcMar>
              <w:top w:type="dxa" w:w="60"/>
              <w:left w:type="dxa" w:w="100"/>
              <w:bottom w:type="dxa" w:w="60"/>
              <w:right w:type="dxa" w:w="100"/>
            </w:tcMar>
          </w:tcPr>
          <w:p>
            <w:pPr>
              <w:spacing w:after="0"/>
            </w:pPr>
            <w:r>
              <w:rPr>
                <w:b w:val="false"/>
                <w:bCs w:val="false"/>
                <w:color w:val="343551"/>
                <w:sz w:val="19"/>
                <w:szCs w:val="19"/>
              </w:rPr>
              <w:t xml:space="preserve">The manufacturer (compiled in-house)</w:t>
            </w:r>
          </w:p>
        </w:tc>
        <w:tc>
          <w:tcPr>
            <w:tcW w:type="dxa" w:w="2900"/>
            <w:tcMar>
              <w:top w:type="dxa" w:w="60"/>
              <w:left w:type="dxa" w:w="100"/>
              <w:bottom w:type="dxa" w:w="60"/>
              <w:right w:type="dxa" w:w="100"/>
            </w:tcMar>
          </w:tcPr>
          <w:p>
            <w:pPr>
              <w:spacing w:after="0"/>
            </w:pPr>
            <w:r>
              <w:rPr>
                <w:b w:val="false"/>
                <w:bCs w:val="false"/>
                <w:color w:val="343551"/>
                <w:sz w:val="19"/>
                <w:szCs w:val="19"/>
              </w:rPr>
              <w:t xml:space="preserve">Annex VII contents: material specifications, weights, drawings or photographs, declarations and test reports for every component</w:t>
            </w:r>
          </w:p>
        </w:tc>
        <w:tc>
          <w:tcPr>
            <w:tcW w:type="dxa" w:w="2300"/>
            <w:tcMar>
              <w:top w:type="dxa" w:w="60"/>
              <w:left w:type="dxa" w:w="100"/>
              <w:bottom w:type="dxa" w:w="60"/>
              <w:right w:type="dxa" w:w="100"/>
            </w:tcMar>
          </w:tcPr>
          <w:p>
            <w:pPr>
              <w:spacing w:after="0"/>
            </w:pPr>
            <w:r>
              <w:rPr>
                <w:b w:val="false"/>
                <w:bCs w:val="false"/>
                <w:color w:val="343551"/>
                <w:sz w:val="19"/>
                <w:szCs w:val="19"/>
              </w:rPr>
              <w:t xml:space="preserve">Held only by the supplier — the manufacturer must hold it</w:t>
            </w:r>
          </w:p>
        </w:tc>
      </w:tr>
      <w:tr>
        <w:tc>
          <w:tcPr>
            <w:tcW w:type="dxa" w:w="1900"/>
            <w:tcMar>
              <w:top w:type="dxa" w:w="60"/>
              <w:left w:type="dxa" w:w="100"/>
              <w:bottom w:type="dxa" w:w="60"/>
              <w:right w:type="dxa" w:w="100"/>
            </w:tcMar>
          </w:tcPr>
          <w:p>
            <w:pPr>
              <w:spacing w:after="0"/>
            </w:pPr>
            <w:r>
              <w:rPr>
                <w:b w:val="false"/>
                <w:bCs w:val="false"/>
                <w:color w:val="343551"/>
                <w:sz w:val="19"/>
                <w:szCs w:val="19"/>
              </w:rPr>
              <w:t xml:space="preserve">Conformity declaration (signed)</w:t>
            </w:r>
          </w:p>
        </w:tc>
        <w:tc>
          <w:tcPr>
            <w:tcW w:type="dxa" w:w="1900"/>
            <w:tcMar>
              <w:top w:type="dxa" w:w="60"/>
              <w:left w:type="dxa" w:w="100"/>
              <w:bottom w:type="dxa" w:w="60"/>
              <w:right w:type="dxa" w:w="100"/>
            </w:tcMar>
          </w:tcPr>
          <w:p>
            <w:pPr>
              <w:spacing w:after="0"/>
            </w:pPr>
            <w:r>
              <w:rPr>
                <w:b w:val="false"/>
                <w:bCs w:val="false"/>
                <w:color w:val="343551"/>
                <w:sz w:val="19"/>
                <w:szCs w:val="19"/>
              </w:rPr>
              <w:t xml:space="preserve">The obligated operator</w:t>
            </w:r>
          </w:p>
        </w:tc>
        <w:tc>
          <w:tcPr>
            <w:tcW w:type="dxa" w:w="2900"/>
            <w:tcMar>
              <w:top w:type="dxa" w:w="60"/>
              <w:left w:type="dxa" w:w="100"/>
              <w:bottom w:type="dxa" w:w="60"/>
              <w:right w:type="dxa" w:w="100"/>
            </w:tcMar>
          </w:tcPr>
          <w:p>
            <w:pPr>
              <w:spacing w:after="0"/>
            </w:pPr>
            <w:r>
              <w:rPr>
                <w:b w:val="false"/>
                <w:bCs w:val="false"/>
                <w:color w:val="343551"/>
                <w:sz w:val="19"/>
                <w:szCs w:val="19"/>
              </w:rPr>
              <w:t xml:space="preserve">Annex VIII elements; one per packaging unit; language of each Member State supplied; signed and dated</w:t>
            </w:r>
          </w:p>
        </w:tc>
        <w:tc>
          <w:tcPr>
            <w:tcW w:type="dxa" w:w="2300"/>
            <w:tcMar>
              <w:top w:type="dxa" w:w="60"/>
              <w:left w:type="dxa" w:w="100"/>
              <w:bottom w:type="dxa" w:w="60"/>
              <w:right w:type="dxa" w:w="100"/>
            </w:tcMar>
          </w:tcPr>
          <w:p>
            <w:pPr>
              <w:spacing w:after="0"/>
            </w:pPr>
            <w:r>
              <w:rPr>
                <w:b w:val="false"/>
                <w:bCs w:val="false"/>
                <w:color w:val="343551"/>
                <w:sz w:val="19"/>
                <w:szCs w:val="19"/>
              </w:rPr>
              <w:t xml:space="preserve">Unsigned draft treated as issued; per-component declarations</w:t>
            </w:r>
          </w:p>
        </w:tc>
      </w:tr>
    </w:tbl>
    <w:p>
      <w:pPr>
        <w:pStyle w:val="Heading2"/>
      </w:pPr>
      <w:r>
        <w:t xml:space="preserve">5.3 Confirming extracted claims</w:t>
      </w:r>
    </w:p>
    <w:p>
      <w:pPr>
        <w:pStyle w:val="ListParagraph"/>
        <w:numPr>
          <w:ilvl w:val="0"/>
          <w:numId w:val="3"/>
        </w:numPr>
        <w:spacing w:after="60"/>
      </w:pPr>
      <w:r>
        <w:t xml:space="preserve">Open the claim; read the provenance snippet beside the document. If the snippet is not in the document, reject — the model quoted something that isn’t there.</w:t>
      </w:r>
    </w:p>
    <w:p>
      <w:pPr>
        <w:pStyle w:val="ListParagraph"/>
        <w:numPr>
          <w:ilvl w:val="0"/>
          <w:numId w:val="3"/>
        </w:numPr>
        <w:spacing w:after="60"/>
      </w:pPr>
      <w:r>
        <w:t xml:space="preserve">A claim flagged “partially obscured”, “illegible”, “two readings disagree” or “type mismatch” has been withheld deliberately. Enter the value manually only if you can read it yourself from the document.</w:t>
      </w:r>
    </w:p>
    <w:p>
      <w:pPr>
        <w:pStyle w:val="ListParagraph"/>
        <w:numPr>
          <w:ilvl w:val="0"/>
          <w:numId w:val="3"/>
        </w:numPr>
        <w:spacing w:after="60"/>
      </w:pPr>
      <w:r>
        <w:t xml:space="preserve">Confirm, reject with a reason, or edit-and-confirm. Confirmed values are immutable; corrections create a new claim. Your name and time are recorded and appear as “Evidence confirmed by” on the passport.</w:t>
      </w:r>
    </w:p>
    <w:p>
      <w:pPr>
        <w:pStyle w:val="ListParagraph"/>
        <w:numPr>
          <w:ilvl w:val="0"/>
          <w:numId w:val="3"/>
        </w:numPr>
        <w:spacing w:after="60"/>
      </w:pPr>
      <w:r>
        <w:t xml:space="preserve">Key values (for example a heavy-metals sum) appear on the passport only from confirmed claims — never from manual metadata.</w:t>
      </w:r>
    </w:p>
    <w:p>
      <w:pPr>
        <w:pStyle w:val="Heading1"/>
      </w:pPr>
      <w:r>
        <w:t xml:space="preserve">6. Requesting evidence</w:t>
      </w:r>
    </w:p>
    <w:p>
      <w:pPr>
        <w:pStyle w:val="ListParagraph"/>
        <w:numPr>
          <w:ilvl w:val="0"/>
          <w:numId w:val="2"/>
        </w:numPr>
        <w:spacing w:after="60"/>
      </w:pPr>
      <w:r>
        <w:t xml:space="preserve">On a Conditional or Gap row, open “How to obtain this” — it names the issuer, what the document must contain and the usual red flags.</w:t>
      </w:r>
    </w:p>
    <w:p>
      <w:pPr>
        <w:pStyle w:val="ListParagraph"/>
        <w:numPr>
          <w:ilvl w:val="0"/>
          <w:numId w:val="2"/>
        </w:numPr>
        <w:spacing w:after="60"/>
      </w:pPr>
      <w:r>
        <w:t xml:space="preserve">Download the request template (.docx): supplier self-declaration request or laboratory test request, pre-filled with the rule’s threshold and method. Send it yourself.</w:t>
      </w:r>
    </w:p>
    <w:p>
      <w:pPr>
        <w:pStyle w:val="ListParagraph"/>
        <w:numPr>
          <w:ilvl w:val="0"/>
          <w:numId w:val="2"/>
        </w:numPr>
        <w:spacing w:after="60"/>
      </w:pPr>
      <w:r>
        <w:t xml:space="preserve">Or create a magic link for the gap and send that: the supplier uploads directly against the component and rule, the document is read, and the claims land in your confirmation queue. Every step appears in the assessment’s activity feed.</w:t>
      </w:r>
    </w:p>
    <w:p>
      <w:pPr>
        <w:pStyle w:val="ListParagraph"/>
        <w:numPr>
          <w:ilvl w:val="0"/>
          <w:numId w:val="2"/>
        </w:numPr>
        <w:spacing w:after="60"/>
      </w:pPr>
      <w:r>
        <w:t xml:space="preserve">Notifications flag documents received, claims awaiting confirmation, and evidence expiring within 60 days.</w:t>
      </w:r>
    </w:p>
    <w:p>
      <w:pPr>
        <w:pStyle w:val="Heading1"/>
      </w:pPr>
      <w:r>
        <w:t xml:space="preserve">7. The draft Declaration of Conformity</w:t>
      </w:r>
    </w:p>
    <w:p>
      <w:pPr>
        <w:spacing w:after="100"/>
      </w:pPr>
      <w:r>
        <w:t xml:space="preserve">When every applicable in-force rule on the pack is Qualified, the technical-documentation rule is satisfied, and the role facts identify your organisation as the manufacturer, “Generate draft” becomes available. The draft (.docx with PDF preview) contains the Annex VIII elements verbatim, a materials-and-weights table from the BOM, element 2 pre-filled from the organisation record (marked CONFIRM BEFORE SIGNING), the conformity statement article by article from the rules that passed, and an explicit list of any Articles 5–12 not assessed by this screening.</w:t>
      </w:r>
    </w:p>
    <w:p>
      <w:pPr>
        <w:pStyle w:val="ListParagraph"/>
        <w:numPr>
          <w:ilvl w:val="0"/>
          <w:numId w:val="3"/>
        </w:numPr>
        <w:spacing w:after="60"/>
      </w:pPr>
      <w:r>
        <w:t xml:space="preserve">It is a data-assembly aid, watermarked DRAFT on every page. It is not a declaration until the manufacturer completes it, translates it for each Member State supplied, signs it, and retains it (5 years single-use, 10 years reusable).</w:t>
      </w:r>
    </w:p>
    <w:p>
      <w:pPr>
        <w:pStyle w:val="ListParagraph"/>
        <w:numPr>
          <w:ilvl w:val="0"/>
          <w:numId w:val="3"/>
        </w:numPr>
        <w:spacing w:after="60"/>
      </w:pPr>
      <w:r>
        <w:t xml:space="preserve">Upload the signed document back as “conformity declaration” evidence; that is what closes the Declaration rule — the human signature, never the tool.</w:t>
      </w:r>
    </w:p>
    <w:p>
      <w:pPr>
        <w:pStyle w:val="ListParagraph"/>
        <w:numPr>
          <w:ilvl w:val="0"/>
          <w:numId w:val="3"/>
        </w:numPr>
        <w:spacing w:after="60"/>
      </w:pPr>
      <w:r>
        <w:t xml:space="preserve">Rules marked Upcoming are not part of the draft’s conformity statement and never block it.</w:t>
      </w:r>
    </w:p>
    <w:p>
      <w:pPr>
        <w:pStyle w:val="Heading1"/>
      </w:pPr>
      <w:r>
        <w:t xml:space="preserve">8. The passport</w:t>
      </w:r>
    </w:p>
    <w:p>
      <w:pPr>
        <w:pStyle w:val="ListParagraph"/>
        <w:numPr>
          <w:ilvl w:val="0"/>
          <w:numId w:val="2"/>
        </w:numPr>
        <w:spacing w:after="60"/>
      </w:pPr>
      <w:r>
        <w:t xml:space="preserve">From the report, “Generate passport”. A public page and QR code are created; the URL uses an unguessable token, not the assessment id.</w:t>
      </w:r>
    </w:p>
    <w:p>
      <w:pPr>
        <w:pStyle w:val="ListParagraph"/>
        <w:numPr>
          <w:ilvl w:val="0"/>
          <w:numId w:val="2"/>
        </w:numPr>
        <w:spacing w:after="60"/>
      </w:pPr>
      <w:r>
        <w:t xml:space="preserve">Public tier shows: declarant and registrations; components with material, mass, origin, producer and recycled share; each applicable rule with verdict, proof, issuer, key value, verifier and citation; upcoming and not-applicable rules collapsed with reasons; footprint with named sources; corpus release; version, hash and generation time.</w:t>
      </w:r>
    </w:p>
    <w:p>
      <w:pPr>
        <w:pStyle w:val="ListParagraph"/>
        <w:numPr>
          <w:ilvl w:val="0"/>
          <w:numId w:val="2"/>
        </w:numPr>
        <w:spacing w:after="60"/>
      </w:pPr>
      <w:r>
        <w:t xml:space="preserve">Regenerate after any change to evidence, organisation or factors: a new version is appended with a changelog and a new hash; the QR keeps resolving to the latest version.</w:t>
      </w:r>
    </w:p>
    <w:p>
      <w:pPr>
        <w:pBdr>
          <w:left w:val="single" w:color="05A070" w:sz="12" w:space="8"/>
        </w:pBdr>
        <w:spacing w:after="160" w:before="80"/>
        <w:ind w:left="360"/>
      </w:pPr>
      <w:r>
        <w:rPr>
          <w:i/>
          <w:iCs/>
          <w:color w:val="4D4F67"/>
          <w:sz w:val="20"/>
          <w:szCs w:val="20"/>
        </w:rPr>
        <w:t xml:space="preserve">Passport pages are public by design and need no login. Never put anything on a passport you would not put on the packaging itself.</w:t>
      </w:r>
    </w:p>
    <w:p>
      <w:pPr>
        <w:pStyle w:val="Heading1"/>
      </w:pPr>
      <w:r>
        <w:t xml:space="preserve">9. Where humans are required, advised, or not needed</w:t>
      </w:r>
    </w:p>
    <w:p>
      <w:pPr>
        <w:pStyle w:val="Heading2"/>
      </w:pPr>
      <w:r>
        <w:t xml:space="preserve">9.1 Required — the tool will not proceed without a named person</w:t>
      </w:r>
    </w:p>
    <w:tbl>
      <w:tblPr>
        <w:tblW w:type="dxa" w:w="9000"/>
        <w:tblBorders>
          <w:top w:val="single" w:color="E6E6E9" w:sz="4"/>
          <w:left w:val="none"/>
          <w:bottom w:val="single" w:color="E6E6E9" w:sz="4"/>
          <w:right w:val="none"/>
          <w:insideH w:val="single" w:color="E6E6E9" w:sz="4"/>
          <w:insideV w:val="none"/>
        </w:tblBorders>
      </w:tblPr>
      <w:tblGrid>
        <w:gridCol w:w="4600"/>
        <w:gridCol w:w="1800"/>
        <w:gridCol w:w="2600"/>
      </w:tblGrid>
      <w:tr>
        <w:trPr>
          <w:tblHeader/>
        </w:trPr>
        <w:tc>
          <w:tcPr>
            <w:tcW w:type="dxa" w:w="4600"/>
            <w:shd w:fill="04524E"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1800"/>
            <w:shd w:fill="04524E" w:color="auto" w:val="clear"/>
            <w:tcMar>
              <w:top w:type="dxa" w:w="60"/>
              <w:left w:type="dxa" w:w="100"/>
              <w:bottom w:type="dxa" w:w="60"/>
              <w:right w:type="dxa" w:w="100"/>
            </w:tcMar>
          </w:tcPr>
          <w:p>
            <w:pPr>
              <w:spacing w:after="0"/>
            </w:pPr>
            <w:r>
              <w:rPr>
                <w:b/>
                <w:bCs/>
                <w:color w:val="FFFFFF"/>
                <w:sz w:val="19"/>
                <w:szCs w:val="19"/>
              </w:rPr>
              <w:t xml:space="preserve">Who</w:t>
            </w:r>
          </w:p>
        </w:tc>
        <w:tc>
          <w:tcPr>
            <w:tcW w:type="dxa" w:w="2600"/>
            <w:shd w:fill="04524E" w:color="auto" w:val="clear"/>
            <w:tcMar>
              <w:top w:type="dxa" w:w="60"/>
              <w:left w:type="dxa" w:w="100"/>
              <w:bottom w:type="dxa" w:w="60"/>
              <w:right w:type="dxa" w:w="100"/>
            </w:tcMar>
          </w:tcPr>
          <w:p>
            <w:pPr>
              <w:spacing w:after="0"/>
            </w:pPr>
            <w:r>
              <w:rPr>
                <w:b/>
                <w:bCs/>
                <w:color w:val="FFFFFF"/>
                <w:sz w:val="19"/>
                <w:szCs w:val="19"/>
              </w:rPr>
              <w:t xml:space="preserve">Why</w:t>
            </w:r>
          </w:p>
        </w:tc>
      </w:tr>
      <w:tr>
        <w:tc>
          <w:tcPr>
            <w:tcW w:type="dxa" w:w="4600"/>
            <w:tcMar>
              <w:top w:type="dxa" w:w="60"/>
              <w:left w:type="dxa" w:w="100"/>
              <w:bottom w:type="dxa" w:w="60"/>
              <w:right w:type="dxa" w:w="100"/>
            </w:tcMar>
          </w:tcPr>
          <w:p>
            <w:pPr>
              <w:spacing w:after="0"/>
            </w:pPr>
            <w:r>
              <w:rPr>
                <w:b w:val="false"/>
                <w:bCs w:val="false"/>
                <w:color w:val="343551"/>
                <w:sz w:val="19"/>
                <w:szCs w:val="19"/>
              </w:rPr>
              <w:t xml:space="preserve">Approving a rule, guidance text or document template into force; verifying its citation against primary law</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Regulatory owner</w:t>
            </w:r>
          </w:p>
        </w:tc>
        <w:tc>
          <w:tcPr>
            <w:tcW w:type="dxa" w:w="2600"/>
            <w:tcMar>
              <w:top w:type="dxa" w:w="60"/>
              <w:left w:type="dxa" w:w="100"/>
              <w:bottom w:type="dxa" w:w="60"/>
              <w:right w:type="dxa" w:w="100"/>
            </w:tcMar>
          </w:tcPr>
          <w:p>
            <w:pPr>
              <w:spacing w:after="0"/>
            </w:pPr>
            <w:r>
              <w:rPr>
                <w:b w:val="false"/>
                <w:bCs w:val="false"/>
                <w:color w:val="343551"/>
                <w:sz w:val="19"/>
                <w:szCs w:val="19"/>
              </w:rPr>
              <w:t xml:space="preserve">Verdicts may only come from human-approved, human-verified rules</w:t>
            </w:r>
          </w:p>
        </w:tc>
      </w:tr>
      <w:tr>
        <w:tc>
          <w:tcPr>
            <w:tcW w:type="dxa" w:w="4600"/>
            <w:tcMar>
              <w:top w:type="dxa" w:w="60"/>
              <w:left w:type="dxa" w:w="100"/>
              <w:bottom w:type="dxa" w:w="60"/>
              <w:right w:type="dxa" w:w="100"/>
            </w:tcMar>
          </w:tcPr>
          <w:p>
            <w:pPr>
              <w:spacing w:after="0"/>
            </w:pPr>
            <w:r>
              <w:rPr>
                <w:b w:val="false"/>
                <w:bCs w:val="false"/>
                <w:color w:val="343551"/>
                <w:sz w:val="19"/>
                <w:szCs w:val="19"/>
              </w:rPr>
              <w:t xml:space="preserve">Selecting an emission factor and recording the dataset licence position</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Regulatory owner</w:t>
            </w:r>
          </w:p>
        </w:tc>
        <w:tc>
          <w:tcPr>
            <w:tcW w:type="dxa" w:w="2600"/>
            <w:tcMar>
              <w:top w:type="dxa" w:w="60"/>
              <w:left w:type="dxa" w:w="100"/>
              <w:bottom w:type="dxa" w:w="60"/>
              <w:right w:type="dxa" w:w="100"/>
            </w:tcMar>
          </w:tcPr>
          <w:p>
            <w:pPr>
              <w:spacing w:after="0"/>
            </w:pPr>
            <w:r>
              <w:rPr>
                <w:b w:val="false"/>
                <w:bCs w:val="false"/>
                <w:color w:val="343551"/>
                <w:sz w:val="19"/>
                <w:szCs w:val="19"/>
              </w:rPr>
              <w:t xml:space="preserve">Factor choice is a modelling judgement; publication of values depends on licence terms</w:t>
            </w:r>
          </w:p>
        </w:tc>
      </w:tr>
      <w:tr>
        <w:tc>
          <w:tcPr>
            <w:tcW w:type="dxa" w:w="4600"/>
            <w:tcMar>
              <w:top w:type="dxa" w:w="60"/>
              <w:left w:type="dxa" w:w="100"/>
              <w:bottom w:type="dxa" w:w="60"/>
              <w:right w:type="dxa" w:w="100"/>
            </w:tcMar>
          </w:tcPr>
          <w:p>
            <w:pPr>
              <w:spacing w:after="0"/>
            </w:pPr>
            <w:r>
              <w:rPr>
                <w:b w:val="false"/>
                <w:bCs w:val="false"/>
                <w:color w:val="343551"/>
                <w:sz w:val="19"/>
                <w:szCs w:val="19"/>
              </w:rPr>
              <w:t xml:space="preserve">Confirming, rejecting or editing an extracted claim</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Assessor</w:t>
            </w:r>
          </w:p>
        </w:tc>
        <w:tc>
          <w:tcPr>
            <w:tcW w:type="dxa" w:w="2600"/>
            <w:tcMar>
              <w:top w:type="dxa" w:w="60"/>
              <w:left w:type="dxa" w:w="100"/>
              <w:bottom w:type="dxa" w:w="60"/>
              <w:right w:type="dxa" w:w="100"/>
            </w:tcMar>
          </w:tcPr>
          <w:p>
            <w:pPr>
              <w:spacing w:after="0"/>
            </w:pPr>
            <w:r>
              <w:rPr>
                <w:b w:val="false"/>
                <w:bCs w:val="false"/>
                <w:color w:val="343551"/>
                <w:sz w:val="19"/>
                <w:szCs w:val="19"/>
              </w:rPr>
              <w:t xml:space="preserve">No machine-read value affects a verdict unconfirmed</w:t>
            </w:r>
          </w:p>
        </w:tc>
      </w:tr>
      <w:tr>
        <w:tc>
          <w:tcPr>
            <w:tcW w:type="dxa" w:w="4600"/>
            <w:tcMar>
              <w:top w:type="dxa" w:w="60"/>
              <w:left w:type="dxa" w:w="100"/>
              <w:bottom w:type="dxa" w:w="60"/>
              <w:right w:type="dxa" w:w="100"/>
            </w:tcMar>
          </w:tcPr>
          <w:p>
            <w:pPr>
              <w:spacing w:after="0"/>
            </w:pPr>
            <w:r>
              <w:rPr>
                <w:b w:val="false"/>
                <w:bCs w:val="false"/>
                <w:color w:val="343551"/>
                <w:sz w:val="19"/>
                <w:szCs w:val="19"/>
              </w:rPr>
              <w:t xml:space="preserve">Entering a material risk annotation</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Assessor</w:t>
            </w:r>
          </w:p>
        </w:tc>
        <w:tc>
          <w:tcPr>
            <w:tcW w:type="dxa" w:w="2600"/>
            <w:tcMar>
              <w:top w:type="dxa" w:w="60"/>
              <w:left w:type="dxa" w:w="100"/>
              <w:bottom w:type="dxa" w:w="60"/>
              <w:right w:type="dxa" w:w="100"/>
            </w:tcMar>
          </w:tcPr>
          <w:p>
            <w:pPr>
              <w:spacing w:after="0"/>
            </w:pPr>
            <w:r>
              <w:rPr>
                <w:b w:val="false"/>
                <w:bCs w:val="false"/>
                <w:color w:val="343551"/>
                <w:sz w:val="19"/>
                <w:szCs w:val="19"/>
              </w:rPr>
              <w:t xml:space="preserve">It is a declared judgement, attributed and dated</w:t>
            </w:r>
          </w:p>
        </w:tc>
      </w:tr>
      <w:tr>
        <w:tc>
          <w:tcPr>
            <w:tcW w:type="dxa" w:w="4600"/>
            <w:tcMar>
              <w:top w:type="dxa" w:w="60"/>
              <w:left w:type="dxa" w:w="100"/>
              <w:bottom w:type="dxa" w:w="60"/>
              <w:right w:type="dxa" w:w="100"/>
            </w:tcMar>
          </w:tcPr>
          <w:p>
            <w:pPr>
              <w:spacing w:after="0"/>
            </w:pPr>
            <w:r>
              <w:rPr>
                <w:b w:val="false"/>
                <w:bCs w:val="false"/>
                <w:color w:val="343551"/>
                <w:sz w:val="19"/>
                <w:szCs w:val="19"/>
              </w:rPr>
              <w:t xml:space="preserve">Completing, signing and retaining the Declaration of Conformity</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Manufacturer</w:t>
            </w:r>
          </w:p>
        </w:tc>
        <w:tc>
          <w:tcPr>
            <w:tcW w:type="dxa" w:w="2600"/>
            <w:tcMar>
              <w:top w:type="dxa" w:w="60"/>
              <w:left w:type="dxa" w:w="100"/>
              <w:bottom w:type="dxa" w:w="60"/>
              <w:right w:type="dxa" w:w="100"/>
            </w:tcMar>
          </w:tcPr>
          <w:p>
            <w:pPr>
              <w:spacing w:after="0"/>
            </w:pPr>
            <w:r>
              <w:rPr>
                <w:b w:val="false"/>
                <w:bCs w:val="false"/>
                <w:color w:val="343551"/>
                <w:sz w:val="19"/>
                <w:szCs w:val="19"/>
              </w:rPr>
              <w:t xml:space="preserve">A legal act the tool cannot perform</w:t>
            </w:r>
          </w:p>
        </w:tc>
      </w:tr>
      <w:tr>
        <w:tc>
          <w:tcPr>
            <w:tcW w:type="dxa" w:w="4600"/>
            <w:tcMar>
              <w:top w:type="dxa" w:w="60"/>
              <w:left w:type="dxa" w:w="100"/>
              <w:bottom w:type="dxa" w:w="60"/>
              <w:right w:type="dxa" w:w="100"/>
            </w:tcMar>
          </w:tcPr>
          <w:p>
            <w:pPr>
              <w:spacing w:after="0"/>
            </w:pPr>
            <w:r>
              <w:rPr>
                <w:b w:val="false"/>
                <w:bCs w:val="false"/>
                <w:color w:val="343551"/>
                <w:sz w:val="19"/>
                <w:szCs w:val="19"/>
              </w:rPr>
              <w:t xml:space="preserve">Deciding an ambiguous manufacturer role</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Manufacturer with legal advice</w:t>
            </w:r>
          </w:p>
        </w:tc>
        <w:tc>
          <w:tcPr>
            <w:tcW w:type="dxa" w:w="2600"/>
            <w:tcMar>
              <w:top w:type="dxa" w:w="60"/>
              <w:left w:type="dxa" w:w="100"/>
              <w:bottom w:type="dxa" w:w="60"/>
              <w:right w:type="dxa" w:w="100"/>
            </w:tcMar>
          </w:tcPr>
          <w:p>
            <w:pPr>
              <w:spacing w:after="0"/>
            </w:pPr>
            <w:r>
              <w:rPr>
                <w:b w:val="false"/>
                <w:bCs w:val="false"/>
                <w:color w:val="343551"/>
                <w:sz w:val="19"/>
                <w:szCs w:val="19"/>
              </w:rPr>
              <w:t xml:space="preserve">Contract- and case-specific</w:t>
            </w:r>
          </w:p>
        </w:tc>
      </w:tr>
      <w:tr>
        <w:tc>
          <w:tcPr>
            <w:tcW w:type="dxa" w:w="4600"/>
            <w:tcMar>
              <w:top w:type="dxa" w:w="60"/>
              <w:left w:type="dxa" w:w="100"/>
              <w:bottom w:type="dxa" w:w="60"/>
              <w:right w:type="dxa" w:w="100"/>
            </w:tcMar>
          </w:tcPr>
          <w:p>
            <w:pPr>
              <w:spacing w:after="0"/>
            </w:pPr>
            <w:r>
              <w:rPr>
                <w:b w:val="false"/>
                <w:bCs w:val="false"/>
                <w:color w:val="343551"/>
                <w:sz w:val="19"/>
                <w:szCs w:val="19"/>
              </w:rPr>
              <w:t xml:space="preserve">Entering EPR registration numbers</w:t>
            </w:r>
          </w:p>
        </w:tc>
        <w:tc>
          <w:tcPr>
            <w:tcW w:type="dxa" w:w="1800"/>
            <w:tcMar>
              <w:top w:type="dxa" w:w="60"/>
              <w:left w:type="dxa" w:w="100"/>
              <w:bottom w:type="dxa" w:w="60"/>
              <w:right w:type="dxa" w:w="100"/>
            </w:tcMar>
          </w:tcPr>
          <w:p>
            <w:pPr>
              <w:spacing w:after="0"/>
            </w:pPr>
            <w:r>
              <w:rPr>
                <w:b w:val="false"/>
                <w:bCs w:val="false"/>
                <w:color w:val="343551"/>
                <w:sz w:val="19"/>
                <w:szCs w:val="19"/>
              </w:rPr>
              <w:t xml:space="preserve">Assessor / manufacturer</w:t>
            </w:r>
          </w:p>
        </w:tc>
        <w:tc>
          <w:tcPr>
            <w:tcW w:type="dxa" w:w="2600"/>
            <w:tcMar>
              <w:top w:type="dxa" w:w="60"/>
              <w:left w:type="dxa" w:w="100"/>
              <w:bottom w:type="dxa" w:w="60"/>
              <w:right w:type="dxa" w:w="100"/>
            </w:tcMar>
          </w:tcPr>
          <w:p>
            <w:pPr>
              <w:spacing w:after="0"/>
            </w:pPr>
            <w:r>
              <w:rPr>
                <w:b w:val="false"/>
                <w:bCs w:val="false"/>
                <w:color w:val="343551"/>
                <w:sz w:val="19"/>
                <w:szCs w:val="19"/>
              </w:rPr>
              <w:t xml:space="preserve">The tool records them; it does not obtain or check them</w:t>
            </w:r>
          </w:p>
        </w:tc>
      </w:tr>
    </w:tbl>
    <w:p>
      <w:pPr>
        <w:pStyle w:val="Heading2"/>
      </w:pPr>
      <w:r>
        <w:t xml:space="preserve">9.2 Advised — the tool will proceed, but a person should look</w:t>
      </w:r>
    </w:p>
    <w:p>
      <w:pPr>
        <w:pStyle w:val="ListParagraph"/>
        <w:numPr>
          <w:ilvl w:val="0"/>
          <w:numId w:val="3"/>
        </w:numPr>
        <w:spacing w:after="60"/>
      </w:pPr>
      <w:r>
        <w:t xml:space="preserve">Every claim extracted from a phone photo or scan (Tier C/D documents): read the snippet against the image.</w:t>
      </w:r>
    </w:p>
    <w:p>
      <w:pPr>
        <w:pStyle w:val="ListParagraph"/>
        <w:numPr>
          <w:ilvl w:val="0"/>
          <w:numId w:val="3"/>
        </w:numPr>
        <w:spacing w:after="60"/>
      </w:pPr>
      <w:r>
        <w:t xml:space="preserve">Scope statements on declarations: the engine matches names; a human recognises that “Grade A liner” is the same grade under a new code.</w:t>
      </w:r>
    </w:p>
    <w:p>
      <w:pPr>
        <w:pStyle w:val="ListParagraph"/>
        <w:numPr>
          <w:ilvl w:val="0"/>
          <w:numId w:val="3"/>
        </w:numPr>
        <w:spacing w:after="60"/>
      </w:pPr>
      <w:r>
        <w:t xml:space="preserve">The role derivation shown on the report: branded / standardised / custom facts entered wrongly change who the manufacturer is.</w:t>
      </w:r>
    </w:p>
    <w:p>
      <w:pPr>
        <w:pStyle w:val="ListParagraph"/>
        <w:numPr>
          <w:ilvl w:val="0"/>
          <w:numId w:val="3"/>
        </w:numPr>
        <w:spacing w:after="60"/>
      </w:pPr>
      <w:r>
        <w:t xml:space="preserve">Register numbers: check them against the public register where one exists (LUCID is publicly searchable) before relying on them.</w:t>
      </w:r>
    </w:p>
    <w:p>
      <w:pPr>
        <w:pStyle w:val="ListParagraph"/>
        <w:numPr>
          <w:ilvl w:val="0"/>
          <w:numId w:val="3"/>
        </w:numPr>
        <w:spacing w:after="60"/>
      </w:pPr>
      <w:r>
        <w:t xml:space="preserve">Footprint factors on a client-facing output: confirm the selected region and year are the best available before the passport is shared.</w:t>
      </w:r>
    </w:p>
    <w:p>
      <w:pPr>
        <w:pStyle w:val="ListParagraph"/>
        <w:numPr>
          <w:ilvl w:val="0"/>
          <w:numId w:val="3"/>
        </w:numPr>
        <w:spacing w:after="60"/>
      </w:pPr>
      <w:r>
        <w:t xml:space="preserve">Any “Upcoming” rule within 18 months of its trigger date — start the evidence plan now.</w:t>
      </w:r>
    </w:p>
    <w:p>
      <w:pPr>
        <w:pStyle w:val="Heading2"/>
      </w:pPr>
      <w:r>
        <w:t xml:space="preserve">9.3 Automated — no human step needed, and none is offered</w:t>
      </w:r>
    </w:p>
    <w:p>
      <w:pPr>
        <w:pStyle w:val="ListParagraph"/>
        <w:numPr>
          <w:ilvl w:val="0"/>
          <w:numId w:val="3"/>
        </w:numPr>
        <w:spacing w:after="60"/>
      </w:pPr>
      <w:r>
        <w:t xml:space="preserve">Applicability: which rules apply, given the context, materials and trigger dates.</w:t>
      </w:r>
    </w:p>
    <w:p>
      <w:pPr>
        <w:pStyle w:val="ListParagraph"/>
        <w:numPr>
          <w:ilvl w:val="0"/>
          <w:numId w:val="3"/>
        </w:numPr>
        <w:spacing w:after="60"/>
      </w:pPr>
      <w:r>
        <w:t xml:space="preserve">Verdict computation, aggregation and counts; reproducibility against the pinned corpus release.</w:t>
      </w:r>
    </w:p>
    <w:p>
      <w:pPr>
        <w:pStyle w:val="ListParagraph"/>
        <w:numPr>
          <w:ilvl w:val="0"/>
          <w:numId w:val="3"/>
        </w:numPr>
        <w:spacing w:after="60"/>
      </w:pPr>
      <w:r>
        <w:t xml:space="preserve">Evidence-state derivation: type, scope, expiry, issuer recorded.</w:t>
      </w:r>
    </w:p>
    <w:p>
      <w:pPr>
        <w:pStyle w:val="ListParagraph"/>
        <w:numPr>
          <w:ilvl w:val="0"/>
          <w:numId w:val="3"/>
        </w:numPr>
        <w:spacing w:after="60"/>
      </w:pPr>
      <w:r>
        <w:t xml:space="preserve">Footprint arithmetic from pinned factors and masses, including the recycled-content blend where a share is declared.</w:t>
      </w:r>
    </w:p>
    <w:p>
      <w:pPr>
        <w:pStyle w:val="ListParagraph"/>
        <w:numPr>
          <w:ilvl w:val="0"/>
          <w:numId w:val="3"/>
        </w:numPr>
        <w:spacing w:after="60"/>
      </w:pPr>
      <w:r>
        <w:t xml:space="preserve">Request-template population; passport rendering, hashing and versioning; activity logging; expiry notifications.</w:t>
      </w:r>
    </w:p>
    <w:p>
      <w:pPr>
        <w:pStyle w:val="Heading1"/>
      </w:pPr>
      <w:r>
        <w:t xml:space="preserve">10. Limits and troubleshooting</w:t>
      </w:r>
    </w:p>
    <w:tbl>
      <w:tblPr>
        <w:tblW w:type="dxa" w:w="9000"/>
        <w:tblBorders>
          <w:top w:val="single" w:color="E6E6E9" w:sz="4"/>
          <w:left w:val="none"/>
          <w:bottom w:val="single" w:color="E6E6E9" w:sz="4"/>
          <w:right w:val="none"/>
          <w:insideH w:val="single" w:color="E6E6E9" w:sz="4"/>
          <w:insideV w:val="none"/>
        </w:tblBorders>
      </w:tblPr>
      <w:tblGrid>
        <w:gridCol w:w="3000"/>
        <w:gridCol w:w="3200"/>
        <w:gridCol w:w="2800"/>
      </w:tblGrid>
      <w:tr>
        <w:trPr>
          <w:tblHeader/>
        </w:trPr>
        <w:tc>
          <w:tcPr>
            <w:tcW w:type="dxa" w:w="3000"/>
            <w:shd w:fill="04524E" w:color="auto" w:val="clear"/>
            <w:tcMar>
              <w:top w:type="dxa" w:w="60"/>
              <w:left w:type="dxa" w:w="100"/>
              <w:bottom w:type="dxa" w:w="60"/>
              <w:right w:type="dxa" w:w="100"/>
            </w:tcMar>
          </w:tcPr>
          <w:p>
            <w:pPr>
              <w:spacing w:after="0"/>
            </w:pPr>
            <w:r>
              <w:rPr>
                <w:b/>
                <w:bCs/>
                <w:color w:val="FFFFFF"/>
                <w:sz w:val="19"/>
                <w:szCs w:val="19"/>
              </w:rPr>
              <w:t xml:space="preserve">Symptom</w:t>
            </w:r>
          </w:p>
        </w:tc>
        <w:tc>
          <w:tcPr>
            <w:tcW w:type="dxa" w:w="3200"/>
            <w:shd w:fill="04524E" w:color="auto" w:val="clear"/>
            <w:tcMar>
              <w:top w:type="dxa" w:w="60"/>
              <w:left w:type="dxa" w:w="100"/>
              <w:bottom w:type="dxa" w:w="60"/>
              <w:right w:type="dxa" w:w="100"/>
            </w:tcMar>
          </w:tcPr>
          <w:p>
            <w:pPr>
              <w:spacing w:after="0"/>
            </w:pPr>
            <w:r>
              <w:rPr>
                <w:b/>
                <w:bCs/>
                <w:color w:val="FFFFFF"/>
                <w:sz w:val="19"/>
                <w:szCs w:val="19"/>
              </w:rPr>
              <w:t xml:space="preserve">Meaning</w:t>
            </w:r>
          </w:p>
        </w:tc>
        <w:tc>
          <w:tcPr>
            <w:tcW w:type="dxa" w:w="2800"/>
            <w:shd w:fill="04524E" w:color="auto" w:val="clear"/>
            <w:tcMar>
              <w:top w:type="dxa" w:w="60"/>
              <w:left w:type="dxa" w:w="100"/>
              <w:bottom w:type="dxa" w:w="60"/>
              <w:right w:type="dxa" w:w="100"/>
            </w:tcMar>
          </w:tcPr>
          <w:p>
            <w:pPr>
              <w:spacing w:after="0"/>
            </w:pPr>
            <w:r>
              <w:rPr>
                <w:b/>
                <w:bCs/>
                <w:color w:val="FFFFFF"/>
                <w:sz w:val="19"/>
                <w:szCs w:val="19"/>
              </w:rPr>
              <w:t xml:space="preserve">Action</w:t>
            </w:r>
          </w:p>
        </w:tc>
      </w:tr>
      <w:tr>
        <w:tc>
          <w:tcPr>
            <w:tcW w:type="dxa" w:w="3000"/>
            <w:tcMar>
              <w:top w:type="dxa" w:w="60"/>
              <w:left w:type="dxa" w:w="100"/>
              <w:bottom w:type="dxa" w:w="60"/>
              <w:right w:type="dxa" w:w="100"/>
            </w:tcMar>
          </w:tcPr>
          <w:p>
            <w:pPr>
              <w:spacing w:after="0"/>
            </w:pPr>
            <w:r>
              <w:rPr>
                <w:b w:val="false"/>
                <w:bCs w:val="false"/>
                <w:color w:val="343551"/>
                <w:sz w:val="19"/>
                <w:szCs w:val="19"/>
              </w:rPr>
              <w:t xml:space="preserve">Report shows all caveats, “pending regulatory approval”</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The rules are drafts in this environment</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Regulatory owner approves and verifies; re-open the report</w:t>
            </w:r>
          </w:p>
        </w:tc>
      </w:tr>
      <w:tr>
        <w:tc>
          <w:tcPr>
            <w:tcW w:type="dxa" w:w="3000"/>
            <w:tcMar>
              <w:top w:type="dxa" w:w="60"/>
              <w:left w:type="dxa" w:w="100"/>
              <w:bottom w:type="dxa" w:w="60"/>
              <w:right w:type="dxa" w:w="100"/>
            </w:tcMar>
          </w:tcPr>
          <w:p>
            <w:pPr>
              <w:spacing w:after="0"/>
            </w:pPr>
            <w:r>
              <w:rPr>
                <w:b w:val="false"/>
                <w:bCs w:val="false"/>
                <w:color w:val="343551"/>
                <w:sz w:val="19"/>
                <w:szCs w:val="19"/>
              </w:rPr>
              <w:t xml:space="preserve">Footprint reads “partial” or 0</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A material in the pack has no selected factor</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Regulatory owner selects a factor; re-evaluate (new assessment or re-seed in demo environments)</w:t>
            </w:r>
          </w:p>
        </w:tc>
      </w:tr>
      <w:tr>
        <w:tc>
          <w:tcPr>
            <w:tcW w:type="dxa" w:w="3000"/>
            <w:tcMar>
              <w:top w:type="dxa" w:w="60"/>
              <w:left w:type="dxa" w:w="100"/>
              <w:bottom w:type="dxa" w:w="60"/>
              <w:right w:type="dxa" w:w="100"/>
            </w:tcMar>
          </w:tcPr>
          <w:p>
            <w:pPr>
              <w:spacing w:after="0"/>
            </w:pPr>
            <w:r>
              <w:rPr>
                <w:b w:val="false"/>
                <w:bCs w:val="false"/>
                <w:color w:val="343551"/>
                <w:sz w:val="19"/>
                <w:szCs w:val="19"/>
              </w:rPr>
              <w:t xml:space="preserve">Declaration button disabled</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Listed blockers: a rule not yet Qualified, technical file unsatisfied, or the role points to another party</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Close the listed rows; correct role facts; if the customer defined the spec, they are the manufacturer</w:t>
            </w:r>
          </w:p>
        </w:tc>
      </w:tr>
      <w:tr>
        <w:tc>
          <w:tcPr>
            <w:tcW w:type="dxa" w:w="3000"/>
            <w:tcMar>
              <w:top w:type="dxa" w:w="60"/>
              <w:left w:type="dxa" w:w="100"/>
              <w:bottom w:type="dxa" w:w="60"/>
              <w:right w:type="dxa" w:w="100"/>
            </w:tcMar>
          </w:tcPr>
          <w:p>
            <w:pPr>
              <w:spacing w:after="0"/>
            </w:pPr>
            <w:r>
              <w:rPr>
                <w:b w:val="false"/>
                <w:bCs w:val="false"/>
                <w:color w:val="343551"/>
                <w:sz w:val="19"/>
                <w:szCs w:val="19"/>
              </w:rPr>
              <w:t xml:space="preserve">A rule shows Not applicable unexpectedly</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Context: destination, food contact or material type excludes it</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Check the assessment context; the reason is stated on the row</w:t>
            </w:r>
          </w:p>
        </w:tc>
      </w:tr>
      <w:tr>
        <w:tc>
          <w:tcPr>
            <w:tcW w:type="dxa" w:w="3000"/>
            <w:tcMar>
              <w:top w:type="dxa" w:w="60"/>
              <w:left w:type="dxa" w:w="100"/>
              <w:bottom w:type="dxa" w:w="60"/>
              <w:right w:type="dxa" w:w="100"/>
            </w:tcMar>
          </w:tcPr>
          <w:p>
            <w:pPr>
              <w:spacing w:after="0"/>
            </w:pPr>
            <w:r>
              <w:rPr>
                <w:b w:val="false"/>
                <w:bCs w:val="false"/>
                <w:color w:val="343551"/>
                <w:sz w:val="19"/>
                <w:szCs w:val="19"/>
              </w:rPr>
              <w:t xml:space="preserve">Extraction takes ~45 seconds</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Multi-page document with grounding; image-only documents are read twice</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Wait; the progress indicator shows elapsed time</w:t>
            </w:r>
          </w:p>
        </w:tc>
      </w:tr>
      <w:tr>
        <w:tc>
          <w:tcPr>
            <w:tcW w:type="dxa" w:w="3000"/>
            <w:tcMar>
              <w:top w:type="dxa" w:w="60"/>
              <w:left w:type="dxa" w:w="100"/>
              <w:bottom w:type="dxa" w:w="60"/>
              <w:right w:type="dxa" w:w="100"/>
            </w:tcMar>
          </w:tcPr>
          <w:p>
            <w:pPr>
              <w:spacing w:after="0"/>
            </w:pPr>
            <w:r>
              <w:rPr>
                <w:b w:val="false"/>
                <w:bCs w:val="false"/>
                <w:color w:val="343551"/>
                <w:sz w:val="19"/>
                <w:szCs w:val="19"/>
              </w:rPr>
              <w:t xml:space="preserve">Claim withheld as “two readings disagree”</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The image-only document was read twice with different results</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Read the document yourself; enter manually if legible</w:t>
            </w:r>
          </w:p>
        </w:tc>
      </w:tr>
      <w:tr>
        <w:tc>
          <w:tcPr>
            <w:tcW w:type="dxa" w:w="3000"/>
            <w:tcMar>
              <w:top w:type="dxa" w:w="60"/>
              <w:left w:type="dxa" w:w="100"/>
              <w:bottom w:type="dxa" w:w="60"/>
              <w:right w:type="dxa" w:w="100"/>
            </w:tcMar>
          </w:tcPr>
          <w:p>
            <w:pPr>
              <w:spacing w:after="0"/>
            </w:pPr>
            <w:r>
              <w:rPr>
                <w:b w:val="false"/>
                <w:bCs w:val="false"/>
                <w:color w:val="343551"/>
                <w:sz w:val="19"/>
                <w:szCs w:val="19"/>
              </w:rPr>
              <w:t xml:space="preserve">Passport shows an old state</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A new version was not generated after changes</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Regenerate from the report</w:t>
            </w:r>
          </w:p>
        </w:tc>
      </w:tr>
      <w:tr>
        <w:tc>
          <w:tcPr>
            <w:tcW w:type="dxa" w:w="3000"/>
            <w:tcMar>
              <w:top w:type="dxa" w:w="60"/>
              <w:left w:type="dxa" w:w="100"/>
              <w:bottom w:type="dxa" w:w="60"/>
              <w:right w:type="dxa" w:w="100"/>
            </w:tcMar>
          </w:tcPr>
          <w:p>
            <w:pPr>
              <w:spacing w:after="0"/>
            </w:pPr>
            <w:r>
              <w:rPr>
                <w:b w:val="false"/>
                <w:bCs w:val="false"/>
                <w:color w:val="343551"/>
                <w:sz w:val="19"/>
                <w:szCs w:val="19"/>
              </w:rPr>
              <w:t xml:space="preserve">Rule verified-by blank</w:t>
            </w:r>
          </w:p>
        </w:tc>
        <w:tc>
          <w:tcPr>
            <w:tcW w:type="dxa" w:w="3200"/>
            <w:tcMar>
              <w:top w:type="dxa" w:w="60"/>
              <w:left w:type="dxa" w:w="100"/>
              <w:bottom w:type="dxa" w:w="60"/>
              <w:right w:type="dxa" w:w="100"/>
            </w:tcMar>
          </w:tcPr>
          <w:p>
            <w:pPr>
              <w:spacing w:after="0"/>
            </w:pPr>
            <w:r>
              <w:rPr>
                <w:b w:val="false"/>
                <w:bCs w:val="false"/>
                <w:color w:val="343551"/>
                <w:sz w:val="19"/>
                <w:szCs w:val="19"/>
              </w:rPr>
              <w:t xml:space="preserve">This environment’s corpus is approved but not yet verified</w:t>
            </w:r>
          </w:p>
        </w:tc>
        <w:tc>
          <w:tcPr>
            <w:tcW w:type="dxa" w:w="2800"/>
            <w:tcMar>
              <w:top w:type="dxa" w:w="60"/>
              <w:left w:type="dxa" w:w="100"/>
              <w:bottom w:type="dxa" w:w="60"/>
              <w:right w:type="dxa" w:w="100"/>
            </w:tcMar>
          </w:tcPr>
          <w:p>
            <w:pPr>
              <w:spacing w:after="0"/>
            </w:pPr>
            <w:r>
              <w:rPr>
                <w:b w:val="false"/>
                <w:bCs w:val="false"/>
                <w:color w:val="343551"/>
                <w:sz w:val="19"/>
                <w:szCs w:val="19"/>
              </w:rPr>
              <w:t xml:space="preserve">Regulatory owner runs verification</w:t>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D4F67"/>
        <w:sz w:val="16"/>
        <w:szCs w:val="16"/>
      </w:rPr>
      <w:t xml:space="preserve">Qualification screening and evidence assembly only — not a Declaration of Conformity, certificate or legal advice.   Page </w:t>
    </w:r>
    <w:r>
      <w:rPr>
        <w:color w:val="4D4F6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D4F67"/>
        <w:sz w:val="16"/>
        <w:szCs w:val="16"/>
      </w:rPr>
      <w:t xml:space="preserve">Fitsol · Packaging compliance screening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3435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DM Sans" w:cs="DM Sans" w:eastAsia="DM Sans" w:hAnsi="DM Sans"/>
      <w:b/>
      <w:bCs/>
      <w:color w:val="1A1C3C"/>
      <w:sz w:val="44"/>
      <w:szCs w:val="44"/>
    </w:rPr>
  </w:style>
  <w:style w:type="paragraph" w:styleId="Subtitle">
    <w:name w:val="Subtitle"/>
    <w:basedOn w:val="Normal"/>
    <w:pPr>
      <w:spacing w:after="360"/>
    </w:pPr>
    <w:rPr>
      <w:rFonts w:ascii="DM Sans" w:cs="DM Sans" w:eastAsia="DM Sans" w:hAnsi="DM Sans"/>
      <w:color w:val="4D4F67"/>
      <w:sz w:val="22"/>
      <w:szCs w:val="22"/>
    </w:rPr>
  </w:style>
  <w:style w:type="paragraph" w:styleId="Heading1">
    <w:name w:val="Heading 1"/>
    <w:basedOn w:val="Normal"/>
    <w:next w:val="Normal"/>
    <w:qFormat/>
    <w:pPr>
      <w:pBdr>
        <w:bottom w:val="single" w:color="05A070" w:sz="6" w:space="4"/>
      </w:pBdr>
      <w:spacing w:after="120" w:before="360"/>
      <w:outlineLvl w:val="0"/>
    </w:pPr>
    <w:rPr>
      <w:rFonts w:ascii="DM Sans" w:cs="DM Sans" w:eastAsia="DM Sans" w:hAnsi="DM Sans"/>
      <w:b/>
      <w:bCs/>
      <w:color w:val="04524E"/>
      <w:sz w:val="30"/>
      <w:szCs w:val="30"/>
    </w:rPr>
  </w:style>
  <w:style w:type="paragraph" w:styleId="Heading2">
    <w:name w:val="Heading 2"/>
    <w:basedOn w:val="Normal"/>
    <w:next w:val="Normal"/>
    <w:qFormat/>
    <w:pPr>
      <w:spacing w:after="80" w:before="240"/>
      <w:outlineLvl w:val="1"/>
    </w:pPr>
    <w:rPr>
      <w:rFonts w:ascii="DM Sans" w:cs="DM Sans" w:eastAsia="DM Sans" w:hAnsi="DM Sans"/>
      <w:b/>
      <w:bCs/>
      <w:color w:val="1A1C3C"/>
      <w:sz w:val="24"/>
      <w:szCs w:val="24"/>
    </w:rPr>
  </w:style>
  <w:style w:type="paragraph" w:styleId="Heading3">
    <w:name w:val="Heading 3"/>
    <w:basedOn w:val="Normal"/>
    <w:next w:val="Normal"/>
    <w:qFormat/>
    <w:pPr>
      <w:spacing w:after="60" w:before="160"/>
      <w:outlineLvl w:val="2"/>
    </w:pPr>
    <w:rPr>
      <w:rFonts w:ascii="DM Sans" w:cs="DM Sans" w:eastAsia="DM Sans" w:hAnsi="DM Sans"/>
      <w:b/>
      <w:bCs/>
      <w:color w:val="3435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2026-09-14T16:01:49.831Z</dcterms:created>
  <dcterms:modified xsi:type="dcterms:W3CDTF">2026-09-14T16:01:49.832Z</dcterms:modified>
</cp:coreProperties>
</file>

<file path=docProps/custom.xml><?xml version="1.0" encoding="utf-8"?>
<Properties xmlns="http://schemas.openxmlformats.org/officeDocument/2006/custom-properties" xmlns:vt="http://schemas.openxmlformats.org/officeDocument/2006/docPropsVTypes"/>
</file>