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Recommended Architecture for Collision Avoidance</w:t>
      </w:r>
    </w:p>
    <w:p>
      <w:pPr>
        <w:spacing w:after="400"/>
      </w:pPr>
      <w:r>
        <w:rPr>
          <w:i/>
          <w:iCs/>
          <w:color w:val="444444"/>
          <w:sz w:val="24"/>
          <w:szCs w:val="24"/>
        </w:rPr>
        <w:t xml:space="preserve">A layered, deterministic-plus-learned design for adaptive path planning (TFv6/VLA baseline)</w:t>
      </w:r>
    </w:p>
    <w:p>
      <w:pPr>
        <w:pStyle w:val="Heading1"/>
        <w:spacing w:after="160" w:before="320"/>
      </w:pPr>
      <w:r>
        <w:t xml:space="preserve">Executive Summary</w:t>
      </w:r>
    </w:p>
    <w:p>
      <w:pPr>
        <w:spacing w:after="160"/>
      </w:pPr>
      <w:r>
        <w:t xml:space="preserve">This report recommends a layered collision-avoidance architecture that keeps a fast learned planner (e.g. TransFuser v6 / a VLA) as the primary planner, and wraps it with four deterministic safety layers: a runtime monitor, a parallel rule-based contingency planner, a Minimal Risk Maneuver (MRM) state machine, and a dedicated evasive-maneuver (brake+steer) layer. No single paper reviewed here solves collision avoidance end to end; each contributes one layer. The recommendation is therefore a composite architecture, justified paper-by-paper below, with a consolidated latency budget and an explicit set of trade-offs against simpler alternatives (braking-only, a single learned planner with no fallback, or a fully rule-based stack).</w:t>
      </w:r>
    </w:p>
    <w:p>
      <w:pPr>
        <w:spacing w:after="160"/>
      </w:pPr>
      <w:r>
        <w:rPr>
          <w:b/>
          <w:bCs/>
        </w:rPr>
        <w:t xml:space="preserve">Core recommendation: </w:t>
      </w:r>
      <w:r>
        <w:t xml:space="preserve">Primary learned planner (TFv6-class) → Runtime Monitor (Moller et al., 2601.03904) → Parallel Contingency Planner using consensus ADMM (Zheng et al., CPTO, 2409.10310 / 2502.06359) → Evasive Maneuver Layer combining braking and steering (Chalmers thesis; SAE 2022-01-0096; evasive-steering patent family) → Minimal Risk Maneuver as last resort, redefined to allow continued controlled motion rather than an unconditional stop (When Stopping Fails, 2606.29115; SAE 2022-28-0301).</w:t>
      </w:r>
    </w:p>
    <w:p>
      <w:pPr>
        <w:pStyle w:val="Heading1"/>
        <w:spacing w:after="160" w:before="320"/>
      </w:pPr>
      <w:r>
        <w:t xml:space="preserve">1. Problem Statement</w:t>
      </w:r>
    </w:p>
    <w:p>
      <w:pPr>
        <w:spacing w:after="160"/>
      </w:pPr>
      <w:r>
        <w:t xml:space="preserve">Learned end-to-end planners such as TransFuser v6 (TFv6) are strong in aggregate closed-loop metrics but have two structural weaknesses relevant to collision avoidance: (1) their response to an imminent collision is dominated by longitudinal braking, which has a hard physical floor set by stopping distance and road friction; and (2) as a single learned model, a bad or infeasible output has no independent backstop. The architecture below is designed to remove both weaknesses without discarding the learned planner, since it remains the best-performing component for normal driving.</w:t>
      </w:r>
    </w:p>
    <w:p>
      <w:pPr>
        <w:pStyle w:val="Heading1"/>
        <w:spacing w:after="160" w:before="320"/>
      </w:pPr>
      <w:r>
        <w:t xml:space="preserve">2. Recommended Architecture Overview</w:t>
      </w:r>
    </w:p>
    <w:p>
      <w:pPr>
        <w:spacing w:after="160"/>
      </w:pPr>
      <w:r>
        <w:t xml:space="preserve">The design is a five-layer stack, ordered from "handles the common case" to "last line of defense". Each layer only activates when the layer above it is judged unsafe or infeasible.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200"/>
        <w:gridCol w:w="2200"/>
      </w:tblGrid>
      <w:tr>
        <w:tc>
          <w:tcPr>
            <w:tcW w:type="dxa" w:w="1600"/>
            <w:shd w:fill="1F3864" w:val="clear"/>
            <w:vAlign w:val="center"/>
          </w:tcPr>
          <w:p>
            <w:r>
              <w:rPr>
                <w:b/>
                <w:bCs/>
                <w:color w:val="FFFFFF"/>
                <w:sz w:val="20"/>
                <w:szCs w:val="20"/>
              </w:rPr>
              <w:t xml:space="preserve">Layer</w:t>
            </w:r>
          </w:p>
        </w:tc>
        <w:tc>
          <w:tcPr>
            <w:tcW w:type="dxa" w:w="3200"/>
            <w:shd w:fill="1F3864" w:val="clear"/>
            <w:vAlign w:val="center"/>
          </w:tcPr>
          <w:p>
            <w:r>
              <w:rPr>
                <w:b/>
                <w:bCs/>
                <w:color w:val="FFFFFF"/>
                <w:sz w:val="20"/>
                <w:szCs w:val="20"/>
              </w:rPr>
              <w:t xml:space="preserve">Function</w:t>
            </w:r>
          </w:p>
        </w:tc>
        <w:tc>
          <w:tcPr>
            <w:tcW w:type="dxa" w:w="3200"/>
            <w:shd w:fill="1F3864" w:val="clear"/>
            <w:vAlign w:val="center"/>
          </w:tcPr>
          <w:p>
            <w:r>
              <w:rPr>
                <w:b/>
                <w:bCs/>
                <w:color w:val="FFFFFF"/>
                <w:sz w:val="20"/>
                <w:szCs w:val="20"/>
              </w:rPr>
              <w:t xml:space="preserve">Source paper(s)</w:t>
            </w:r>
          </w:p>
        </w:tc>
        <w:tc>
          <w:tcPr>
            <w:tcW w:type="dxa" w:w="2200"/>
            <w:shd w:fill="1F3864" w:val="clear"/>
            <w:vAlign w:val="center"/>
          </w:tcPr>
          <w:p>
            <w:r>
              <w:rPr>
                <w:b/>
                <w:bCs/>
                <w:color w:val="FFFFFF"/>
                <w:sz w:val="20"/>
                <w:szCs w:val="20"/>
              </w:rPr>
              <w:t xml:space="preserve">Measured latency</w:t>
            </w:r>
          </w:p>
        </w:tc>
      </w:tr>
      <w:tr>
        <w:tc>
          <w:tcPr>
            <w:tcW w:type="dxa" w:w="1600"/>
            <w:vAlign w:val="center"/>
          </w:tcPr>
          <w:p>
            <w:r>
              <w:rPr>
                <w:b w:val="false"/>
                <w:bCs w:val="false"/>
                <w:sz w:val="18"/>
                <w:szCs w:val="18"/>
              </w:rPr>
              <w:t xml:space="preserve">0. Primary planner</w:t>
            </w:r>
          </w:p>
        </w:tc>
        <w:tc>
          <w:tcPr>
            <w:tcW w:type="dxa" w:w="3200"/>
            <w:vAlign w:val="center"/>
          </w:tcPr>
          <w:p>
            <w:r>
              <w:rPr>
                <w:b w:val="false"/>
                <w:bCs w:val="false"/>
                <w:sz w:val="18"/>
                <w:szCs w:val="18"/>
              </w:rPr>
              <w:t xml:space="preserve">TFv6 / VLA produces the nominal trajectory every cycle</w:t>
            </w:r>
          </w:p>
        </w:tc>
        <w:tc>
          <w:tcPr>
            <w:tcW w:type="dxa" w:w="3200"/>
            <w:vAlign w:val="center"/>
          </w:tcPr>
          <w:p>
            <w:r>
              <w:rPr>
                <w:b w:val="false"/>
                <w:bCs w:val="false"/>
                <w:sz w:val="18"/>
                <w:szCs w:val="18"/>
              </w:rPr>
              <w:t xml:space="preserve">LEAD (2512.20563); TransFuser (2205.15997)</w:t>
            </w:r>
          </w:p>
        </w:tc>
        <w:tc>
          <w:tcPr>
            <w:tcW w:type="dxa" w:w="2200"/>
            <w:vAlign w:val="center"/>
          </w:tcPr>
          <w:p>
            <w:r>
              <w:rPr>
                <w:b w:val="false"/>
                <w:bCs w:val="false"/>
                <w:sz w:val="18"/>
                <w:szCs w:val="18"/>
              </w:rPr>
              <w:t xml:space="preserve">~28 ms (TransFuser, RTX 3090); TFv6 not published</w:t>
            </w:r>
          </w:p>
        </w:tc>
      </w:tr>
      <w:tr>
        <w:tc>
          <w:tcPr>
            <w:tcW w:type="dxa" w:w="1600"/>
            <w:vAlign w:val="center"/>
          </w:tcPr>
          <w:p>
            <w:r>
              <w:rPr>
                <w:b w:val="false"/>
                <w:bCs w:val="false"/>
                <w:sz w:val="18"/>
                <w:szCs w:val="18"/>
              </w:rPr>
              <w:t xml:space="preserve">1. Runtime monitor</w:t>
            </w:r>
          </w:p>
        </w:tc>
        <w:tc>
          <w:tcPr>
            <w:tcW w:type="dxa" w:w="3200"/>
            <w:vAlign w:val="center"/>
          </w:tcPr>
          <w:p>
            <w:r>
              <w:rPr>
                <w:b w:val="false"/>
                <w:bCs w:val="false"/>
                <w:sz w:val="18"/>
                <w:szCs w:val="18"/>
              </w:rPr>
              <w:t xml:space="preserve">Passively checks the primary plan's feasibility and timing deadline</w:t>
            </w:r>
          </w:p>
        </w:tc>
        <w:tc>
          <w:tcPr>
            <w:tcW w:type="dxa" w:w="3200"/>
            <w:vAlign w:val="center"/>
          </w:tcPr>
          <w:p>
            <w:r>
              <w:rPr>
                <w:b w:val="false"/>
                <w:bCs w:val="false"/>
                <w:sz w:val="18"/>
                <w:szCs w:val="18"/>
              </w:rPr>
              <w:t xml:space="preserve">Moller et al. (2601.03904)</w:t>
            </w:r>
          </w:p>
        </w:tc>
        <w:tc>
          <w:tcPr>
            <w:tcW w:type="dxa" w:w="2200"/>
            <w:vAlign w:val="center"/>
          </w:tcPr>
          <w:p>
            <w:r>
              <w:rPr>
                <w:b w:val="false"/>
                <w:bCs w:val="false"/>
                <w:sz w:val="18"/>
                <w:szCs w:val="18"/>
              </w:rPr>
              <w:t xml:space="preserve">Sub-ms check (monitor only; does not replan)</w:t>
            </w:r>
          </w:p>
        </w:tc>
      </w:tr>
      <w:tr>
        <w:tc>
          <w:tcPr>
            <w:tcW w:type="dxa" w:w="1600"/>
            <w:vAlign w:val="center"/>
          </w:tcPr>
          <w:p>
            <w:r>
              <w:rPr>
                <w:b w:val="false"/>
                <w:bCs w:val="false"/>
                <w:sz w:val="18"/>
                <w:szCs w:val="18"/>
              </w:rPr>
              <w:t xml:space="preserve">2. Contingency planner</w:t>
            </w:r>
          </w:p>
        </w:tc>
        <w:tc>
          <w:tcPr>
            <w:tcW w:type="dxa" w:w="3200"/>
            <w:vAlign w:val="center"/>
          </w:tcPr>
          <w:p>
            <w:r>
              <w:rPr>
                <w:b w:val="false"/>
                <w:bCs w:val="false"/>
                <w:sz w:val="18"/>
                <w:szCs w:val="18"/>
              </w:rPr>
              <w:t xml:space="preserve">Independent, parallel, rule-based planner that always has a valid alternative ready</w:t>
            </w:r>
          </w:p>
        </w:tc>
        <w:tc>
          <w:tcPr>
            <w:tcW w:type="dxa" w:w="3200"/>
            <w:vAlign w:val="center"/>
          </w:tcPr>
          <w:p>
            <w:r>
              <w:rPr>
                <w:b w:val="false"/>
                <w:bCs w:val="false"/>
                <w:sz w:val="18"/>
                <w:szCs w:val="18"/>
              </w:rPr>
              <w:t xml:space="preserve">Zheng et al. CPTO (2409.10310); Zheng et al. Occlusion-Aware (2502.06359); Nyberg et al. (2607.03155)</w:t>
            </w:r>
          </w:p>
        </w:tc>
        <w:tc>
          <w:tcPr>
            <w:tcW w:type="dxa" w:w="2200"/>
            <w:vAlign w:val="center"/>
          </w:tcPr>
          <w:p>
            <w:r>
              <w:rPr>
                <w:b w:val="false"/>
                <w:bCs w:val="false"/>
                <w:sz w:val="18"/>
                <w:szCs w:val="18"/>
              </w:rPr>
              <w:t xml:space="preserve">23-29 ms avg, ~40-47 ms max (2 planners running in parallel)</w:t>
            </w:r>
          </w:p>
        </w:tc>
      </w:tr>
      <w:tr>
        <w:tc>
          <w:tcPr>
            <w:tcW w:type="dxa" w:w="1600"/>
            <w:vAlign w:val="center"/>
          </w:tcPr>
          <w:p>
            <w:r>
              <w:rPr>
                <w:b w:val="false"/>
                <w:bCs w:val="false"/>
                <w:sz w:val="18"/>
                <w:szCs w:val="18"/>
              </w:rPr>
              <w:t xml:space="preserve">3. Evasive maneuver layer</w:t>
            </w:r>
          </w:p>
        </w:tc>
        <w:tc>
          <w:tcPr>
            <w:tcW w:type="dxa" w:w="3200"/>
            <w:vAlign w:val="center"/>
          </w:tcPr>
          <w:p>
            <w:r>
              <w:rPr>
                <w:b w:val="false"/>
                <w:bCs w:val="false"/>
                <w:sz w:val="18"/>
                <w:szCs w:val="18"/>
              </w:rPr>
              <w:t xml:space="preserve">Threat assessment + scored brake/steer/combined trajectory, not braking alone</w:t>
            </w:r>
          </w:p>
        </w:tc>
        <w:tc>
          <w:tcPr>
            <w:tcW w:type="dxa" w:w="3200"/>
            <w:vAlign w:val="center"/>
          </w:tcPr>
          <w:p>
            <w:r>
              <w:rPr>
                <w:b w:val="false"/>
                <w:bCs w:val="false"/>
                <w:sz w:val="18"/>
                <w:szCs w:val="18"/>
              </w:rPr>
              <w:t xml:space="preserve">Chalmers thesis (2025); SAE 2022-01-0096; Arab &amp; Khaleghi (2411.02706); evasive-steering patents</w:t>
            </w:r>
          </w:p>
        </w:tc>
        <w:tc>
          <w:tcPr>
            <w:tcW w:type="dxa" w:w="2200"/>
            <w:vAlign w:val="center"/>
          </w:tcPr>
          <w:p>
            <w:r>
              <w:rPr>
                <w:b w:val="false"/>
                <w:bCs w:val="false"/>
                <w:sz w:val="18"/>
                <w:szCs w:val="18"/>
              </w:rPr>
              <w:t xml:space="preserve">Not benchmarked for compute time in sources reviewed; designed for single-cycle execution</w:t>
            </w:r>
          </w:p>
        </w:tc>
      </w:tr>
      <w:tr>
        <w:tc>
          <w:tcPr>
            <w:tcW w:type="dxa" w:w="1600"/>
            <w:vAlign w:val="center"/>
          </w:tcPr>
          <w:p>
            <w:r>
              <w:rPr>
                <w:b w:val="false"/>
                <w:bCs w:val="false"/>
                <w:sz w:val="18"/>
                <w:szCs w:val="18"/>
              </w:rPr>
              <w:t xml:space="preserve">4. Minimal Risk Maneuver</w:t>
            </w:r>
          </w:p>
        </w:tc>
        <w:tc>
          <w:tcPr>
            <w:tcW w:type="dxa" w:w="3200"/>
            <w:vAlign w:val="center"/>
          </w:tcPr>
          <w:p>
            <w:r>
              <w:rPr>
                <w:b w:val="false"/>
                <w:bCs w:val="false"/>
                <w:sz w:val="18"/>
                <w:szCs w:val="18"/>
              </w:rPr>
              <w:t xml:space="preserve">Last-resort safe state when nothing above is valid; not simply "stop"</w:t>
            </w:r>
          </w:p>
        </w:tc>
        <w:tc>
          <w:tcPr>
            <w:tcW w:type="dxa" w:w="3200"/>
            <w:vAlign w:val="center"/>
          </w:tcPr>
          <w:p>
            <w:r>
              <w:rPr>
                <w:b w:val="false"/>
                <w:bCs w:val="false"/>
                <w:sz w:val="18"/>
                <w:szCs w:val="18"/>
              </w:rPr>
              <w:t xml:space="preserve">vom Dorff et al. (DATE 2020); SAE 2022-28-0301; When Stopping Fails (2606.29115)</w:t>
            </w:r>
          </w:p>
        </w:tc>
        <w:tc>
          <w:tcPr>
            <w:tcW w:type="dxa" w:w="2200"/>
            <w:vAlign w:val="center"/>
          </w:tcPr>
          <w:p>
            <w:r>
              <w:rPr>
                <w:b w:val="false"/>
                <w:bCs w:val="false"/>
                <w:sz w:val="18"/>
                <w:szCs w:val="18"/>
              </w:rPr>
              <w:t xml:space="preserve">350 ms system dead time; 500 ms replanning cadence (vom Dorff)</w:t>
            </w:r>
          </w:p>
        </w:tc>
      </w:tr>
    </w:tbl>
    <w:p>
      <w:pPr>
        <w:spacing w:after="300" w:before="200"/>
      </w:pPr>
    </w:p>
    <w:p>
      <w:pPr>
        <w:spacing w:after="160"/>
      </w:pPr>
      <w:r>
        <w:t xml:space="preserve">Data flow per cycle: perception feeds both the primary planner (layer 0) and the contingency planner (layer 2) simultaneously, not sequentially — this is the key architectural point from Zheng et al. and vom Dorff et al., since a fallback computed only after the primary planner fails would arrive too late. The runtime monitor (layer 1) checks layer 0's output against feasibility and timing bounds; if it fails, control passes to whichever of layer 2 or layer 3 is appropriate for the situation (layer 3 if a collision is imminent, layer 2 for a general invalid plan). Layer 4 only engages if layers 2 and 3 both cannot produce a valid trajectory.</w:t>
      </w:r>
    </w:p>
    <w:p>
      <w:pPr>
        <w:pStyle w:val="Heading1"/>
        <w:spacing w:after="160" w:before="320"/>
      </w:pPr>
      <w:r>
        <w:t xml:space="preserve">3. Paper-by-Paper Reasoning</w:t>
      </w:r>
    </w:p>
    <w:p>
      <w:pPr>
        <w:pStyle w:val="Heading2"/>
        <w:spacing w:after="120" w:before="240"/>
      </w:pPr>
      <w:r>
        <w:t xml:space="preserve">3.1 Why keep a learned primary planner (TFv6 / LEAD)</w:t>
      </w:r>
    </w:p>
    <w:p>
      <w:pPr>
        <w:spacing w:after="160"/>
      </w:pPr>
      <w:r>
        <w:t xml:space="preserve">LEAD (2512.20563) reports the strongest published closed-loop CARLA numbers (95 driving score on Bench2Drive) by fixing learner-expert asymmetry rather than by adding a safety module. Its collision-avoidance gains come from better-aligned training data and larger camera-grounded braking margins, not from an evasive maneuver capability. This is precisely the gap layers 2-4 are built to close. TransFuser's original paper (2205.15997) additionally shows that a hand-tuned safety heuristic (the LiDAR creeping-check) helped on the Longest6 benchmark but cost almost 10 driving-score points on the general leaderboard because it did not generalize to unseen layouts — this is the direct justification for using externally validated, physics-based fallback layers (below) instead of another hand-tuned heuristic bolted onto the learned model itself.</w:t>
      </w:r>
    </w:p>
    <w:p>
      <w:pPr>
        <w:pStyle w:val="Heading2"/>
        <w:spacing w:after="120" w:before="240"/>
      </w:pPr>
      <w:r>
        <w:t xml:space="preserve">3.2 Why a runtime monitor is necessary but not sufficient</w:t>
      </w:r>
    </w:p>
    <w:p>
      <w:pPr>
        <w:spacing w:after="160"/>
      </w:pPr>
      <w:r>
        <w:t xml:space="preserve">Moller et al. (2601.03904) demonstrate that a passive Online Verification module — one that only checks whether the primary planner's output is feasible and on time — cannot by itself make the system safer; it can only detect a fault. Their own measured runtime for an active embedded fallback planner (1.14 s at 64 trajectory samples, or 288 ms at 16 samples) is far too slow to serve as the vehicle's real-time collision response. The paper's own conclusion — a monitor must be paired with an active fallback capable of producing a trajectory, not just flagging failure — is the basis for including layer 2 as a mandatory, always-on companion process rather than a rarely invoked recovery routine.</w:t>
      </w:r>
    </w:p>
    <w:p>
      <w:pPr>
        <w:pStyle w:val="Heading2"/>
        <w:spacing w:after="120" w:before="240"/>
      </w:pPr>
      <w:r>
        <w:t xml:space="preserve">3.3 Why the contingency planner must run in parallel, every cycle</w:t>
      </w:r>
    </w:p>
    <w:p>
      <w:pPr>
        <w:spacing w:after="160"/>
      </w:pPr>
      <w:r>
        <w:t xml:space="preserve">vom Dorff et al. (DATE 2020) show that with realistic sensor and computation delays, roughly 14 metres pass "blindly" before a reactive-only system starts braking, and that hard braking alone can destabilize vehicle dynamics. Their fail-safe architecture's core structural idea — duplicated Observer/Planner pairs (A and B) feeding a single Decider — establishes that a second planner must be computing continuously, not invoked after a failure is detected.</w:t>
      </w:r>
    </w:p>
    <w:p>
      <w:pPr>
        <w:spacing w:after="160"/>
      </w:pPr>
      <w:r>
        <w:t xml:space="preserve">Zheng et al.'s CPTO framework (2409.10310) operationalizes this efficiently: it computes multiple candidate trajectories in parallel via consensus ADMM, sharing a common near-term trajectory segment so the vehicle's immediate behavior does not flip-flop between candidates. Measured optimization time is 23-29 ms on average and 40-47 ms maximum even with up to six tracked obstacles and thousands of optimization variables — well within a single control cycle, and roughly comparable to or faster than TransFuser's own 28 ms inference time. This makes it a realistic candidate to run alongside the primary planner without doubling the system's total latency budget.</w:t>
      </w:r>
    </w:p>
    <w:p>
      <w:pPr>
        <w:spacing w:after="160"/>
      </w:pPr>
      <w:r>
        <w:t xml:space="preserve">Nyberg et al. (2607.03155) add the specific mechanism needed for occluded scenes common on unstructured roads: rather than trying to compute a brand-new safe trajectory under time pressure when an occlusion resolves badly, the framework always executes the safe fallback trajectory computed one timestep earlier. This "yesterday's safe answer is always ready" property is what guarantees a valid contingency plan exists even under hard real-time constraints, and is a design pattern layer 2 should adopt directly.</w:t>
      </w:r>
    </w:p>
    <w:p>
      <w:pPr>
        <w:pStyle w:val="Heading2"/>
        <w:spacing w:after="120" w:before="240"/>
      </w:pPr>
      <w:r>
        <w:t xml:space="preserve">3.4 Why the evasive-maneuver layer is the component that actually improves collision avoidance</w:t>
      </w:r>
    </w:p>
    <w:p>
      <w:pPr>
        <w:spacing w:after="160"/>
      </w:pPr>
      <w:r>
        <w:t xml:space="preserve">The preceding layers protect against system failure (a bad plan, a late plan); they do not, by themselves, improve the vehicle's physical ability to avoid a collision once one is imminent. That capability is specifically addressed by the evasive-maneuver literature. Arab &amp; Khaleghi (2411.02706) establish the underlying claim: there exist real, geometrically defined scenarios (governed by relative speed, gap distance, and vehicle width) where no braking profile — however aggressive — stops the vehicle in time, but a lateral evasive maneuver still can. The evasive-steering patent family (US7016783 and related) supplies the quantitative decision logic: closed-form minimum-distance formulas for braking-only, steering-only, and combined maneuvers, with a friction-dependent crossover speed (approximately 42 km/h on dry pavement, 18 km/h on ice in the cited analysis) above which steering strictly outperforms braking.</w:t>
      </w:r>
    </w:p>
    <w:p>
      <w:pPr>
        <w:spacing w:after="160"/>
      </w:pPr>
      <w:r>
        <w:t xml:space="preserve">SAE 2022-01-0096 provides a concrete, implementable method for the steering component: a fifth-order (quintic) polynomial trajectory around the obstacle, tracked by an LQR controller. The quintic form is chosen specifically because it allows position, velocity, and acceleration boundary conditions to be set at both ends of the maneuver, producing a jerk-minimized path rather than an abrupt steering input. The Chalmers thesis (2025) is the most directly transferable reference because it implements and compares two full algorithms — a rule-based threat-assessment method and a spline-sampling method that scores multiple candidate trajectories for dynamic feasibility and collision-freeness — and finds that the correct brake/steer split is scenario-dependent rather than fixed. This argues for the spline-sampling approach in an Indian-roads context, since fixed thresholds tuned for orderly, lane-disciplined traffic are unlikely to transfer.</w:t>
      </w:r>
    </w:p>
    <w:p>
      <w:pPr>
        <w:pStyle w:val="Heading2"/>
        <w:spacing w:after="120" w:before="240"/>
      </w:pPr>
      <w:r>
        <w:t xml:space="preserve">3.5 Why the Minimal Risk Maneuver must not default to "just stop"</w:t>
      </w:r>
    </w:p>
    <w:p>
      <w:pPr>
        <w:spacing w:after="160"/>
      </w:pPr>
      <w:r>
        <w:t xml:space="preserve">When Stopping Fails (2606.29115) argues directly against SAE J3016's framing of Minimal Risk Condition as equivalent to stopping: an uncontrolled or context-blind stop (mid-intersection, on a shoulder-less road, in the path of following traffic) can itself create a hazard. SAE 2022-28-0301 supports this from the certification side, requiring that an MRM specify which Dynamic Driving Task functions must continue (in-lane steering, controlled deceleration, hazard signaling) rather than treating full stop as the entire specification. Layer 4 in the recommended architecture is therefore defined as a state machine with a context-aware target state — nearest safe pull-out, controlled deceleration with lane-keeping — rather than an unconditional stop-in-place, and is invoked only when layers 2 and 3 have both failed to produce a valid alternative.</w:t>
      </w:r>
    </w:p>
    <w:p>
      <w:pPr>
        <w:pStyle w:val="Heading1"/>
        <w:spacing w:after="160" w:before="320"/>
      </w:pPr>
      <w:r>
        <w:t xml:space="preserve">4. Why This Composite Architecture Over the Alternatives</w:t>
      </w:r>
    </w:p>
    <w:p>
      <w:pPr>
        <w:spacing w:after="160"/>
      </w:pPr>
      <w:r>
        <w:rPr>
          <w:b/>
          <w:bCs/>
        </w:rPr>
        <w:t xml:space="preserve">Alternative A — TFv6 alone (no fallback): </w:t>
      </w:r>
      <w:r>
        <w:t xml:space="preserve">Rejected. The learned planner has no independent backstop; a bad output has nothing to catch it. TransFuser's own results show 9x more vehicle collisions than its expert planner, concentrated at unprotected turns and lane changes — exactly the failure mode a contingency layer is meant to catch.</w:t>
      </w:r>
    </w:p>
    <w:p>
      <w:pPr>
        <w:spacing w:after="160"/>
      </w:pPr>
      <w:r>
        <w:rPr>
          <w:b/>
          <w:bCs/>
        </w:rPr>
        <w:t xml:space="preserve">Alternative B — Braking-only reflex layer (AEB-style) as the sole safety net: </w:t>
      </w:r>
      <w:r>
        <w:t xml:space="preserve">Rejected as sufficient, though retained as the lowest reflexive tier. Arab &amp; Khaleghi and the evasive-steering patent family both show geometrically real scenarios where braking cannot avoid a collision that steering can. Braking-only is kept only as the certifiable, hardware-adjacent last-instant layer beneath the evasive-maneuver layer, not as a replacement for it.</w:t>
      </w:r>
    </w:p>
    <w:p>
      <w:pPr>
        <w:spacing w:after="160"/>
      </w:pPr>
      <w:r>
        <w:rPr>
          <w:b/>
          <w:bCs/>
        </w:rPr>
        <w:t xml:space="preserve">Alternative C — Fully rule-based stack (no learned planner): </w:t>
      </w:r>
      <w:r>
        <w:t xml:space="preserve">Rejected as the primary planner. LEAD and TransFuser both show that end-to-end learned models substantially outperform classical planners in aggregate closed-loop metrics; discarding the learned planner would sacrifice this performance for a marginal robustness gain that the layered design already captures without that cost.</w:t>
      </w:r>
    </w:p>
    <w:p>
      <w:pPr>
        <w:spacing w:after="160"/>
      </w:pPr>
      <w:r>
        <w:rPr>
          <w:b/>
          <w:bCs/>
        </w:rPr>
        <w:t xml:space="preserve">Alternative D — VLA-first stack (e.g. Alpamayo-R1) as primary planner: </w:t>
      </w:r>
      <w:r>
        <w:t xml:space="preserve">Not recommended as the sole primary planner given current evidence. Alpamayo-R1's reported 99 ms latency is on high-end datacenter-class GPU hardware, roughly 3-4x slower than TransFuser's measured inference, and it has not been evaluated on CARLA or against TFv6 directly. Its decision taxonomy (explicit nudge/lateral-maneuver categories) is nonetheless valuable and is recommended as an offline teacher signal (see Section 5), not as the runtime planner.</w:t>
      </w:r>
    </w:p>
    <w:p>
      <w:pPr>
        <w:spacing w:after="160"/>
      </w:pPr>
      <w:r>
        <w:rPr>
          <w:b/>
          <w:bCs/>
        </w:rPr>
        <w:t xml:space="preserve">Alternative E — Hand-tuned safety heuristic bolted onto the primary planner (as in original TransFuser): </w:t>
      </w:r>
      <w:r>
        <w:t xml:space="preserve">Rejected. TransFuser's own ablation shows this approach does not generalize to unseen environments, costing leaderboard performance even though it helped on the benchmark it was tuned for. The recommended architecture instead uses physics-derived, benchmark-independent evasive-maneuver logic (Section 3.4), which is not tuned to any specific CARLA town.</w:t>
      </w:r>
    </w:p>
    <w:p>
      <w:pPr>
        <w:pStyle w:val="Heading1"/>
        <w:spacing w:after="160" w:before="320"/>
      </w:pPr>
      <w:r>
        <w:t xml:space="preserve">5. Consolidated Latency Budget</w:t>
      </w:r>
    </w:p>
    <w:p>
      <w:pPr>
        <w:spacing w:after="160"/>
      </w:pPr>
      <w:r>
        <w:t xml:space="preserve">The numbers below are as reported in each source; they were not measured on common hardware and should be treated as indicative, not directly additive.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600"/>
        <w:gridCol w:w="2600"/>
      </w:tblGrid>
      <w:tr>
        <w:tc>
          <w:tcPr>
            <w:tcW w:type="dxa" w:w="2600"/>
            <w:shd w:fill="1F3864" w:val="clear"/>
            <w:vAlign w:val="center"/>
          </w:tcPr>
          <w:p>
            <w:r>
              <w:rPr>
                <w:b/>
                <w:bCs/>
                <w:color w:val="FFFFFF"/>
                <w:sz w:val="20"/>
                <w:szCs w:val="20"/>
              </w:rPr>
              <w:t xml:space="preserve">Component</w:t>
            </w:r>
          </w:p>
        </w:tc>
        <w:tc>
          <w:tcPr>
            <w:tcW w:type="dxa" w:w="2400"/>
            <w:shd w:fill="1F3864" w:val="clear"/>
            <w:vAlign w:val="center"/>
          </w:tcPr>
          <w:p>
            <w:r>
              <w:rPr>
                <w:b/>
                <w:bCs/>
                <w:color w:val="FFFFFF"/>
                <w:sz w:val="20"/>
                <w:szCs w:val="20"/>
              </w:rPr>
              <w:t xml:space="preserve">Reported latency</w:t>
            </w:r>
          </w:p>
        </w:tc>
        <w:tc>
          <w:tcPr>
            <w:tcW w:type="dxa" w:w="2600"/>
            <w:shd w:fill="1F3864" w:val="clear"/>
            <w:vAlign w:val="center"/>
          </w:tcPr>
          <w:p>
            <w:r>
              <w:rPr>
                <w:b/>
                <w:bCs/>
                <w:color w:val="FFFFFF"/>
                <w:sz w:val="20"/>
                <w:szCs w:val="20"/>
              </w:rPr>
              <w:t xml:space="preserve">Hardware</w:t>
            </w:r>
          </w:p>
        </w:tc>
        <w:tc>
          <w:tcPr>
            <w:tcW w:type="dxa" w:w="2600"/>
            <w:shd w:fill="1F3864" w:val="clear"/>
            <w:vAlign w:val="center"/>
          </w:tcPr>
          <w:p>
            <w:r>
              <w:rPr>
                <w:b/>
                <w:bCs/>
                <w:color w:val="FFFFFF"/>
                <w:sz w:val="20"/>
                <w:szCs w:val="20"/>
              </w:rPr>
              <w:t xml:space="preserve">Source</w:t>
            </w:r>
          </w:p>
        </w:tc>
      </w:tr>
      <w:tr>
        <w:tc>
          <w:tcPr>
            <w:tcW w:type="dxa" w:w="2600"/>
            <w:vAlign w:val="center"/>
          </w:tcPr>
          <w:p>
            <w:r>
              <w:rPr>
                <w:b w:val="false"/>
                <w:bCs w:val="false"/>
                <w:sz w:val="18"/>
                <w:szCs w:val="18"/>
              </w:rPr>
              <w:t xml:space="preserve">TransFuser inference (primary planner class)</w:t>
            </w:r>
          </w:p>
        </w:tc>
        <w:tc>
          <w:tcPr>
            <w:tcW w:type="dxa" w:w="2400"/>
            <w:vAlign w:val="center"/>
          </w:tcPr>
          <w:p>
            <w:r>
              <w:rPr>
                <w:b w:val="false"/>
                <w:bCs w:val="false"/>
                <w:sz w:val="18"/>
                <w:szCs w:val="18"/>
              </w:rPr>
              <w:t xml:space="preserve">~27.6 ms/frame (single model); ~59.6 ms (3-model ensemble)</w:t>
            </w:r>
          </w:p>
        </w:tc>
        <w:tc>
          <w:tcPr>
            <w:tcW w:type="dxa" w:w="2600"/>
            <w:vAlign w:val="center"/>
          </w:tcPr>
          <w:p>
            <w:r>
              <w:rPr>
                <w:b w:val="false"/>
                <w:bCs w:val="false"/>
                <w:sz w:val="18"/>
                <w:szCs w:val="18"/>
              </w:rPr>
              <w:t xml:space="preserve">RTX 3090</w:t>
            </w:r>
          </w:p>
        </w:tc>
        <w:tc>
          <w:tcPr>
            <w:tcW w:type="dxa" w:w="2600"/>
            <w:vAlign w:val="center"/>
          </w:tcPr>
          <w:p>
            <w:r>
              <w:rPr>
                <w:b w:val="false"/>
                <w:bCs w:val="false"/>
                <w:sz w:val="18"/>
                <w:szCs w:val="18"/>
              </w:rPr>
              <w:t xml:space="preserve">TransFuser (2205.15997)</w:t>
            </w:r>
          </w:p>
        </w:tc>
      </w:tr>
      <w:tr>
        <w:tc>
          <w:tcPr>
            <w:tcW w:type="dxa" w:w="2600"/>
            <w:vAlign w:val="center"/>
          </w:tcPr>
          <w:p>
            <w:r>
              <w:rPr>
                <w:b w:val="false"/>
                <w:bCs w:val="false"/>
                <w:sz w:val="18"/>
                <w:szCs w:val="18"/>
              </w:rPr>
              <w:t xml:space="preserve">Alpamayo-R1 (alternative VLA primary)</w:t>
            </w:r>
          </w:p>
        </w:tc>
        <w:tc>
          <w:tcPr>
            <w:tcW w:type="dxa" w:w="2400"/>
            <w:vAlign w:val="center"/>
          </w:tcPr>
          <w:p>
            <w:r>
              <w:rPr>
                <w:b w:val="false"/>
                <w:bCs w:val="false"/>
                <w:sz w:val="18"/>
                <w:szCs w:val="18"/>
              </w:rPr>
              <w:t xml:space="preserve">99 ms end-to-end</w:t>
            </w:r>
          </w:p>
        </w:tc>
        <w:tc>
          <w:tcPr>
            <w:tcW w:type="dxa" w:w="2600"/>
            <w:vAlign w:val="center"/>
          </w:tcPr>
          <w:p>
            <w:r>
              <w:rPr>
                <w:b w:val="false"/>
                <w:bCs w:val="false"/>
                <w:sz w:val="18"/>
                <w:szCs w:val="18"/>
              </w:rPr>
              <w:t xml:space="preserve">RTX 6000 Pro Blackwell</w:t>
            </w:r>
          </w:p>
        </w:tc>
        <w:tc>
          <w:tcPr>
            <w:tcW w:type="dxa" w:w="2600"/>
            <w:vAlign w:val="center"/>
          </w:tcPr>
          <w:p>
            <w:r>
              <w:rPr>
                <w:b w:val="false"/>
                <w:bCs w:val="false"/>
                <w:sz w:val="18"/>
                <w:szCs w:val="18"/>
              </w:rPr>
              <w:t xml:space="preserve">Alpamayo-R1 (2511.00088)</w:t>
            </w:r>
          </w:p>
        </w:tc>
      </w:tr>
      <w:tr>
        <w:tc>
          <w:tcPr>
            <w:tcW w:type="dxa" w:w="2600"/>
            <w:vAlign w:val="center"/>
          </w:tcPr>
          <w:p>
            <w:r>
              <w:rPr>
                <w:b w:val="false"/>
                <w:bCs w:val="false"/>
                <w:sz w:val="18"/>
                <w:szCs w:val="18"/>
              </w:rPr>
              <w:t xml:space="preserve">Embedded fallback planner, 16 samples</w:t>
            </w:r>
          </w:p>
        </w:tc>
        <w:tc>
          <w:tcPr>
            <w:tcW w:type="dxa" w:w="2400"/>
            <w:vAlign w:val="center"/>
          </w:tcPr>
          <w:p>
            <w:r>
              <w:rPr>
                <w:b w:val="false"/>
                <w:bCs w:val="false"/>
                <w:sz w:val="18"/>
                <w:szCs w:val="18"/>
              </w:rPr>
              <w:t xml:space="preserve">~288 ms</w:t>
            </w:r>
          </w:p>
        </w:tc>
        <w:tc>
          <w:tcPr>
            <w:tcW w:type="dxa" w:w="2600"/>
            <w:vAlign w:val="center"/>
          </w:tcPr>
          <w:p>
            <w:r>
              <w:rPr>
                <w:b w:val="false"/>
                <w:bCs w:val="false"/>
                <w:sz w:val="18"/>
                <w:szCs w:val="18"/>
              </w:rPr>
              <w:t xml:space="preserve">NXP S32Z2 (Cortex-R52, 800 MHz)</w:t>
            </w:r>
          </w:p>
        </w:tc>
        <w:tc>
          <w:tcPr>
            <w:tcW w:type="dxa" w:w="2600"/>
            <w:vAlign w:val="center"/>
          </w:tcPr>
          <w:p>
            <w:r>
              <w:rPr>
                <w:b w:val="false"/>
                <w:bCs w:val="false"/>
                <w:sz w:val="18"/>
                <w:szCs w:val="18"/>
              </w:rPr>
              <w:t xml:space="preserve">Moller et al. (2601.03904)</w:t>
            </w:r>
          </w:p>
        </w:tc>
      </w:tr>
      <w:tr>
        <w:tc>
          <w:tcPr>
            <w:tcW w:type="dxa" w:w="2600"/>
            <w:vAlign w:val="center"/>
          </w:tcPr>
          <w:p>
            <w:r>
              <w:rPr>
                <w:b w:val="false"/>
                <w:bCs w:val="false"/>
                <w:sz w:val="18"/>
                <w:szCs w:val="18"/>
              </w:rPr>
              <w:t xml:space="preserve">Embedded fallback planner, 64 samples</w:t>
            </w:r>
          </w:p>
        </w:tc>
        <w:tc>
          <w:tcPr>
            <w:tcW w:type="dxa" w:w="2400"/>
            <w:vAlign w:val="center"/>
          </w:tcPr>
          <w:p>
            <w:r>
              <w:rPr>
                <w:b w:val="false"/>
                <w:bCs w:val="false"/>
                <w:sz w:val="18"/>
                <w:szCs w:val="18"/>
              </w:rPr>
              <w:t xml:space="preserve">~1,138 ms</w:t>
            </w:r>
          </w:p>
        </w:tc>
        <w:tc>
          <w:tcPr>
            <w:tcW w:type="dxa" w:w="2600"/>
            <w:vAlign w:val="center"/>
          </w:tcPr>
          <w:p>
            <w:r>
              <w:rPr>
                <w:b w:val="false"/>
                <w:bCs w:val="false"/>
                <w:sz w:val="18"/>
                <w:szCs w:val="18"/>
              </w:rPr>
              <w:t xml:space="preserve">NXP S32Z2 (Cortex-R52, 800 MHz)</w:t>
            </w:r>
          </w:p>
        </w:tc>
        <w:tc>
          <w:tcPr>
            <w:tcW w:type="dxa" w:w="2600"/>
            <w:vAlign w:val="center"/>
          </w:tcPr>
          <w:p>
            <w:r>
              <w:rPr>
                <w:b w:val="false"/>
                <w:bCs w:val="false"/>
                <w:sz w:val="18"/>
                <w:szCs w:val="18"/>
              </w:rPr>
              <w:t xml:space="preserve">Moller et al. (2601.03904)</w:t>
            </w:r>
          </w:p>
        </w:tc>
      </w:tr>
      <w:tr>
        <w:tc>
          <w:tcPr>
            <w:tcW w:type="dxa" w:w="2600"/>
            <w:vAlign w:val="center"/>
          </w:tcPr>
          <w:p>
            <w:r>
              <w:rPr>
                <w:b w:val="false"/>
                <w:bCs w:val="false"/>
                <w:sz w:val="18"/>
                <w:szCs w:val="18"/>
              </w:rPr>
              <w:t xml:space="preserve">CPTO contingency planner</w:t>
            </w:r>
          </w:p>
        </w:tc>
        <w:tc>
          <w:tcPr>
            <w:tcW w:type="dxa" w:w="2400"/>
            <w:vAlign w:val="center"/>
          </w:tcPr>
          <w:p>
            <w:r>
              <w:rPr>
                <w:b w:val="false"/>
                <w:bCs w:val="false"/>
                <w:sz w:val="18"/>
                <w:szCs w:val="18"/>
              </w:rPr>
              <w:t xml:space="preserve">avg 23-29 ms; max 40-47 ms (up to 6 obstacles)</w:t>
            </w:r>
          </w:p>
        </w:tc>
        <w:tc>
          <w:tcPr>
            <w:tcW w:type="dxa" w:w="2600"/>
            <w:vAlign w:val="center"/>
          </w:tcPr>
          <w:p>
            <w:r>
              <w:rPr>
                <w:b w:val="false"/>
                <w:bCs w:val="false"/>
                <w:sz w:val="18"/>
                <w:szCs w:val="18"/>
              </w:rPr>
              <w:t xml:space="preserve">Not specified (simulation)</w:t>
            </w:r>
          </w:p>
        </w:tc>
        <w:tc>
          <w:tcPr>
            <w:tcW w:type="dxa" w:w="2600"/>
            <w:vAlign w:val="center"/>
          </w:tcPr>
          <w:p>
            <w:r>
              <w:rPr>
                <w:b w:val="false"/>
                <w:bCs w:val="false"/>
                <w:sz w:val="18"/>
                <w:szCs w:val="18"/>
              </w:rPr>
              <w:t xml:space="preserve">Zheng et al. (2409.10310, 2502.06359)</w:t>
            </w:r>
          </w:p>
        </w:tc>
      </w:tr>
      <w:tr>
        <w:tc>
          <w:tcPr>
            <w:tcW w:type="dxa" w:w="2600"/>
            <w:vAlign w:val="center"/>
          </w:tcPr>
          <w:p>
            <w:r>
              <w:rPr>
                <w:b w:val="false"/>
                <w:bCs w:val="false"/>
                <w:sz w:val="18"/>
                <w:szCs w:val="18"/>
              </w:rPr>
              <w:t xml:space="preserve">System dead time to braking onset (automated)</w:t>
            </w:r>
          </w:p>
        </w:tc>
        <w:tc>
          <w:tcPr>
            <w:tcW w:type="dxa" w:w="2400"/>
            <w:vAlign w:val="center"/>
          </w:tcPr>
          <w:p>
            <w:r>
              <w:rPr>
                <w:b w:val="false"/>
                <w:bCs w:val="false"/>
                <w:sz w:val="18"/>
                <w:szCs w:val="18"/>
              </w:rPr>
              <w:t xml:space="preserve">350 ms total (perception+plan+brake activation)</w:t>
            </w:r>
          </w:p>
        </w:tc>
        <w:tc>
          <w:tcPr>
            <w:tcW w:type="dxa" w:w="2600"/>
            <w:vAlign w:val="center"/>
          </w:tcPr>
          <w:p>
            <w:r>
              <w:rPr>
                <w:b w:val="false"/>
                <w:bCs w:val="false"/>
                <w:sz w:val="18"/>
                <w:szCs w:val="18"/>
              </w:rPr>
              <w:t xml:space="preserve">System-level budget, not measured runtime</w:t>
            </w:r>
          </w:p>
        </w:tc>
        <w:tc>
          <w:tcPr>
            <w:tcW w:type="dxa" w:w="2600"/>
            <w:vAlign w:val="center"/>
          </w:tcPr>
          <w:p>
            <w:r>
              <w:rPr>
                <w:b w:val="false"/>
                <w:bCs w:val="false"/>
                <w:sz w:val="18"/>
                <w:szCs w:val="18"/>
              </w:rPr>
              <w:t xml:space="preserve">vom Dorff et al. (DATE 2020)</w:t>
            </w:r>
          </w:p>
        </w:tc>
      </w:tr>
      <w:tr>
        <w:tc>
          <w:tcPr>
            <w:tcW w:type="dxa" w:w="2600"/>
            <w:vAlign w:val="center"/>
          </w:tcPr>
          <w:p>
            <w:r>
              <w:rPr>
                <w:b w:val="false"/>
                <w:bCs w:val="false"/>
                <w:sz w:val="18"/>
                <w:szCs w:val="18"/>
              </w:rPr>
              <w:t xml:space="preserve">Recommended replanning cadence (t_drive)</w:t>
            </w:r>
          </w:p>
        </w:tc>
        <w:tc>
          <w:tcPr>
            <w:tcW w:type="dxa" w:w="2400"/>
            <w:vAlign w:val="center"/>
          </w:tcPr>
          <w:p>
            <w:r>
              <w:rPr>
                <w:b w:val="false"/>
                <w:bCs w:val="false"/>
                <w:sz w:val="18"/>
                <w:szCs w:val="18"/>
              </w:rPr>
              <w:t xml:space="preserve">500 ms (design parameter, not a measurement)</w:t>
            </w:r>
          </w:p>
        </w:tc>
        <w:tc>
          <w:tcPr>
            <w:tcW w:type="dxa" w:w="2600"/>
            <w:vAlign w:val="center"/>
          </w:tcPr>
          <w:p>
            <w:r>
              <w:rPr>
                <w:b w:val="false"/>
                <w:bCs w:val="false"/>
                <w:sz w:val="18"/>
                <w:szCs w:val="18"/>
              </w:rPr>
              <w:t xml:space="preserve">n/a</w:t>
            </w:r>
          </w:p>
        </w:tc>
        <w:tc>
          <w:tcPr>
            <w:tcW w:type="dxa" w:w="2600"/>
            <w:vAlign w:val="center"/>
          </w:tcPr>
          <w:p>
            <w:r>
              <w:rPr>
                <w:b w:val="false"/>
                <w:bCs w:val="false"/>
                <w:sz w:val="18"/>
                <w:szCs w:val="18"/>
              </w:rPr>
              <w:t xml:space="preserve">vom Dorff et al. (DATE 2020)</w:t>
            </w:r>
          </w:p>
        </w:tc>
      </w:tr>
    </w:tbl>
    <w:p>
      <w:pPr>
        <w:spacing w:before="200"/>
      </w:pPr>
    </w:p>
    <w:p>
      <w:pPr>
        <w:spacing w:after="160"/>
      </w:pPr>
      <w:r>
        <w:t xml:space="preserve">Implication: the embedded fallback planner benchmarked by Moller et al. is too slow at its 64-sample configuration to fit inside vom Dorff et al.'s own 500 ms replanning-cadence assumption, and would need to run at the 16-sample configuration (~288 ms) or be replaced by the faster CPTO-style ADMM approach (23-47 ms) to serve as layer 2 in the recommended architecture. This is why Section 2 specifies the CPTO-class planner, not the embedded sampling planner, as the default contingency-layer implementation; the embedded planner remains attractive only where hardware certifiability outweighs the latency cost.</w:t>
      </w:r>
    </w:p>
    <w:p>
      <w:pPr>
        <w:pStyle w:val="Heading1"/>
        <w:spacing w:after="160" w:before="320"/>
      </w:pPr>
      <w:r>
        <w:t xml:space="preserve">6. Notes for Adaptation to Indian Road Conditions</w:t>
      </w:r>
    </w:p>
    <w:p>
      <w:pPr>
        <w:spacing w:after="160"/>
      </w:pPr>
      <w:r>
        <w:t xml:space="preserve">None of the reviewed papers evaluate Indian traffic. The following are inferences from their stated limitations, not findings.</w:t>
      </w:r>
    </w:p>
    <w:p>
      <w:pPr>
        <w:pStyle w:val="ListParagraph"/>
        <w:numPr>
          <w:ilvl w:val="0"/>
          <w:numId w:val="2"/>
        </w:numPr>
        <w:spacing w:after="80"/>
      </w:pPr>
      <w:r>
        <w:t xml:space="preserve">The contingency and evasive-maneuver layers (Sections 3.3-3.4) assume tracked, classifiable obstacles; category-agnostic occupancy/free-space input would be needed for unfamiliar road users (animals, handcarts) per LEAD's own stated weakness.</w:t>
      </w:r>
    </w:p>
    <w:p>
      <w:pPr>
        <w:pStyle w:val="ListParagraph"/>
        <w:numPr>
          <w:ilvl w:val="0"/>
          <w:numId w:val="2"/>
        </w:numPr>
        <w:spacing w:after="80"/>
      </w:pPr>
      <w:r>
        <w:t xml:space="preserve">The MRM redefinition in Section 3.5 is the most directly relevant of the five layers, since Indian traffic densities make an unconditional stop even more likely to create secondary hazards than in the paper's original context.</w:t>
      </w:r>
    </w:p>
    <w:p>
      <w:pPr>
        <w:pStyle w:val="ListParagraph"/>
        <w:numPr>
          <w:ilvl w:val="0"/>
          <w:numId w:val="2"/>
        </w:numPr>
        <w:spacing w:after="80"/>
      </w:pPr>
      <w:r>
        <w:t xml:space="preserve">The evasive-maneuver layer's friction/speed crossover thresholds (Section 3.4) were derived for structured, lane-disciplined traffic and would need re-derivation for lane-free, gap-filling conditions before being trusted.</w:t>
      </w:r>
    </w:p>
    <w:p>
      <w:pPr>
        <w:pStyle w:val="ListParagraph"/>
        <w:numPr>
          <w:ilvl w:val="0"/>
          <w:numId w:val="2"/>
        </w:numPr>
        <w:spacing w:after="80"/>
      </w:pPr>
      <w:r>
        <w:t xml:space="preserve">Alpamayo-R1's explicit decision taxonomy (nudge, lateral-maneuver abort, gap-searching) is a usable template for labeling Indian-road training data even though the model itself is not recommended as the runtime planner (Section 4, Alternative D).</w:t>
      </w:r>
    </w:p>
    <w:p>
      <w:pPr>
        <w:pStyle w:val="Heading1"/>
        <w:spacing w:after="160" w:before="320"/>
      </w:pPr>
      <w:r>
        <w:t xml:space="preserve">7. Conclusion</w:t>
      </w:r>
    </w:p>
    <w:p>
      <w:pPr>
        <w:spacing w:after="160"/>
      </w:pPr>
      <w:r>
        <w:t xml:space="preserve">No single reviewed paper provides a complete collision-avoidance solution. The recommended architecture combines a learned primary planner (best raw performance), a passive runtime monitor (cheapest failure detection), a parallel rule-based contingency planner using consensus ADMM (fast enough to run every cycle, always has a valid alternative ready), a physics-grounded evasive-maneuver layer (the only component that improves collision avoidance itself, rather than just system robustness), and a context-aware Minimal Risk Maneuver as the last resort. This composite is justified by each component paper's own stated limitations of the layer above it — the pattern that recurs throughout the reviewed literature is that no single layer is sufficient, and every paper that proposes one layer explicitly motivates it by the failure of a simpler predecessor.</w:t>
      </w:r>
    </w:p>
    <w:p>
      <w:pPr>
        <w:pStyle w:val="Heading1"/>
        <w:spacing w:after="160" w:before="320"/>
      </w:pPr>
      <w:r>
        <w:t xml:space="preserve">References</w:t>
      </w:r>
    </w:p>
    <w:p>
      <w:pPr>
        <w:pStyle w:val="ListParagraph"/>
        <w:numPr>
          <w:ilvl w:val="0"/>
          <w:numId w:val="2"/>
        </w:numPr>
        <w:spacing w:after="80"/>
      </w:pPr>
      <w:r>
        <w:t xml:space="preserve">LEAD: Minimizing Learner-Expert Asymmetry in End-to-End Driving. arXiv:2512.20563.</w:t>
      </w:r>
    </w:p>
    <w:p>
      <w:pPr>
        <w:pStyle w:val="ListParagraph"/>
        <w:numPr>
          <w:ilvl w:val="0"/>
          <w:numId w:val="2"/>
        </w:numPr>
        <w:spacing w:after="80"/>
      </w:pPr>
      <w:r>
        <w:t xml:space="preserve">TransFuser: Imitation with Transformer-Based Sensor Fusion for Autonomous Driving. Chitta et al., TPAMI. arXiv:2205.15997.</w:t>
      </w:r>
    </w:p>
    <w:p>
      <w:pPr>
        <w:pStyle w:val="ListParagraph"/>
        <w:numPr>
          <w:ilvl w:val="0"/>
          <w:numId w:val="2"/>
        </w:numPr>
        <w:spacing w:after="80"/>
      </w:pPr>
      <w:r>
        <w:t xml:space="preserve">Vision-Language-Action Models for Autonomous Driving: Past, Present, and Future. arXiv:2512.16760.</w:t>
      </w:r>
    </w:p>
    <w:p>
      <w:pPr>
        <w:pStyle w:val="ListParagraph"/>
        <w:numPr>
          <w:ilvl w:val="0"/>
          <w:numId w:val="2"/>
        </w:numPr>
        <w:spacing w:after="80"/>
      </w:pPr>
      <w:r>
        <w:t xml:space="preserve">Alpamayo-R1. NVIDIA. arXiv:2511.00088.</w:t>
      </w:r>
    </w:p>
    <w:p>
      <w:pPr>
        <w:pStyle w:val="ListParagraph"/>
        <w:numPr>
          <w:ilvl w:val="0"/>
          <w:numId w:val="2"/>
        </w:numPr>
        <w:spacing w:after="80"/>
      </w:pPr>
      <w:r>
        <w:t xml:space="preserve">Moller et al. Towards Safe Autonomous Driving: A Real-Time Motion Planning Algorithm on Embedded Hardware. arXiv:2601.03904.</w:t>
      </w:r>
    </w:p>
    <w:p>
      <w:pPr>
        <w:pStyle w:val="ListParagraph"/>
        <w:numPr>
          <w:ilvl w:val="0"/>
          <w:numId w:val="2"/>
        </w:numPr>
        <w:spacing w:after="80"/>
      </w:pPr>
      <w:r>
        <w:t xml:space="preserve">vom Dorff et al. A Fail-safe Architecture for Automated Driving. DATE 2020.</w:t>
      </w:r>
    </w:p>
    <w:p>
      <w:pPr>
        <w:pStyle w:val="ListParagraph"/>
        <w:numPr>
          <w:ilvl w:val="0"/>
          <w:numId w:val="2"/>
        </w:numPr>
        <w:spacing w:after="80"/>
      </w:pPr>
      <w:r>
        <w:t xml:space="preserve">Contingency Planning for Safety-Critical Autonomous Vehicles: A Review and Perspectives. arXiv:2601.14880.</w:t>
      </w:r>
    </w:p>
    <w:p>
      <w:pPr>
        <w:pStyle w:val="ListParagraph"/>
        <w:numPr>
          <w:ilvl w:val="0"/>
          <w:numId w:val="2"/>
        </w:numPr>
        <w:spacing w:after="80"/>
      </w:pPr>
      <w:r>
        <w:t xml:space="preserve">Nyberg, Gautier, Tumova. Hope for the Best, Prepare for the Worst: Occlusion-Aware Contingency Planning for Autonomous Vehicles. arXiv:2607.03155.</w:t>
      </w:r>
    </w:p>
    <w:p>
      <w:pPr>
        <w:pStyle w:val="ListParagraph"/>
        <w:numPr>
          <w:ilvl w:val="0"/>
          <w:numId w:val="2"/>
        </w:numPr>
        <w:spacing w:after="80"/>
      </w:pPr>
      <w:r>
        <w:t xml:space="preserve">Zheng et al. Occlusion-Aware Contingency Safety-Critical Planning for Autonomous Vehicles. arXiv:2502.06359.</w:t>
      </w:r>
    </w:p>
    <w:p>
      <w:pPr>
        <w:pStyle w:val="ListParagraph"/>
        <w:numPr>
          <w:ilvl w:val="0"/>
          <w:numId w:val="2"/>
        </w:numPr>
        <w:spacing w:after="80"/>
      </w:pPr>
      <w:r>
        <w:t xml:space="preserve">Zheng et al. Safe and Real-Time Consistent Planning for Autonomous Vehicles in Partially Observed Environments via Parallel Consensus Optimization (CPTO). arXiv:2409.10310.</w:t>
      </w:r>
    </w:p>
    <w:p>
      <w:pPr>
        <w:pStyle w:val="ListParagraph"/>
        <w:numPr>
          <w:ilvl w:val="0"/>
          <w:numId w:val="2"/>
        </w:numPr>
        <w:spacing w:after="80"/>
      </w:pPr>
      <w:r>
        <w:t xml:space="preserve">When Stopping Fails: Rethinking Minimal Risk Conditions through Human-Interactive Autonomous Driving. arXiv:2606.29115.</w:t>
      </w:r>
    </w:p>
    <w:p>
      <w:pPr>
        <w:pStyle w:val="ListParagraph"/>
        <w:numPr>
          <w:ilvl w:val="0"/>
          <w:numId w:val="2"/>
        </w:numPr>
        <w:spacing w:after="80"/>
      </w:pPr>
      <w:r>
        <w:t xml:space="preserve">Arab &amp; Khaleghi. Safety Verification for Evasive Collision Avoidance in Autonomous Vehicles with Enhanced Resolutions. arXiv:2411.02706.</w:t>
      </w:r>
    </w:p>
    <w:p>
      <w:pPr>
        <w:pStyle w:val="ListParagraph"/>
        <w:numPr>
          <w:ilvl w:val="0"/>
          <w:numId w:val="2"/>
        </w:numPr>
        <w:spacing w:after="80"/>
      </w:pPr>
      <w:r>
        <w:t xml:space="preserve">Functional Safety Concept of "Minimum Risk Maneuver" in Conditional Driving Automation (Level 3) Vehicles. SAE 2022-28-0301.</w:t>
      </w:r>
    </w:p>
    <w:p>
      <w:pPr>
        <w:pStyle w:val="ListParagraph"/>
        <w:numPr>
          <w:ilvl w:val="0"/>
          <w:numId w:val="2"/>
        </w:numPr>
        <w:spacing w:after="80"/>
      </w:pPr>
      <w:r>
        <w:t xml:space="preserve">Collision avoidance with active steering and braking. Patent family US7016783 and related (US8392062, US8527172, US9514647).</w:t>
      </w:r>
    </w:p>
    <w:p>
      <w:pPr>
        <w:pStyle w:val="ListParagraph"/>
        <w:numPr>
          <w:ilvl w:val="0"/>
          <w:numId w:val="2"/>
        </w:numPr>
        <w:spacing w:after="80"/>
      </w:pPr>
      <w:r>
        <w:t xml:space="preserve">Trajectory Planning and Steering Control for Evasive Steering Assist. SAE 2022-01-0096.</w:t>
      </w:r>
    </w:p>
    <w:p>
      <w:pPr>
        <w:pStyle w:val="ListParagraph"/>
        <w:numPr>
          <w:ilvl w:val="0"/>
          <w:numId w:val="2"/>
        </w:numPr>
        <w:spacing w:after="80"/>
      </w:pPr>
      <w:r>
        <w:t xml:space="preserve">Lööf Wettervik &amp; Mattsson. Combined braking and steering maneuver for collision avoidance. Chalmers thesis,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2026-09-29T17:28:13.328Z</dcterms:created>
  <dcterms:modified xsi:type="dcterms:W3CDTF">2026-09-29T17:28:13.333Z</dcterms:modified>
</cp:coreProperties>
</file>

<file path=docProps/custom.xml><?xml version="1.0" encoding="utf-8"?>
<Properties xmlns="http://schemas.openxmlformats.org/officeDocument/2006/custom-properties" xmlns:vt="http://schemas.openxmlformats.org/officeDocument/2006/docPropsVTypes"/>
</file>