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Interface Requirements Specification (IRS)</w:t>
      </w:r>
    </w:p>
    <w:p>
      <w:r>
        <w:t>Revision 2.0 — interface requirements for the ground segment and sensor interfaces.</w:t>
      </w:r>
    </w:p>
    <w:p>
      <w:pPr>
        <w:pStyle w:val="Heading1"/>
      </w:pPr>
      <w:r>
        <w:t>3.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IR-0101</w:t>
            </w:r>
          </w:p>
        </w:tc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The ground segment interface shall transmit telemetry sample envelopes as defined in api.proto (message TelemetrySample).</w:t>
            </w:r>
          </w:p>
        </w:tc>
      </w:tr>
      <w:tr>
        <w:tc>
          <w:tcPr>
            <w:tcW w:type="dxa" w:w="2880"/>
          </w:tcPr>
          <w:p>
            <w:r>
              <w:t>IR-0102</w:t>
            </w:r>
          </w:p>
        </w:tc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The acquisition command interface shall accept a StartCommand message to begin acquisition.</w:t>
            </w:r>
          </w:p>
        </w:tc>
      </w:tr>
      <w:tr>
        <w:tc>
          <w:tcPr>
            <w:tcW w:type="dxa" w:w="2880"/>
          </w:tcPr>
          <w:p>
            <w:r>
              <w:t>IR-0103</w:t>
            </w:r>
          </w:p>
        </w:tc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The health reporting interface shall expose an MTBF estimate as defined in api.proto (message HealthReport).</w:t>
            </w:r>
          </w:p>
        </w:tc>
      </w:tr>
      <w:tr>
        <w:tc>
          <w:tcPr>
            <w:tcW w:type="dxa" w:w="2880"/>
          </w:tcPr>
          <w:p>
            <w:r>
              <w:t>IR-0104</w:t>
            </w:r>
          </w:p>
        </w:tc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The sensor interface shall provide a raw sample stream at the configured sample rate.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