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sz w:val="28"/>
        </w:rPr>
        <w:t>Project: demo-446cd4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This SysRS defines the system-level requirements for the telemetry acquisition subsystem.  [source: SysRS_v3.1.docx / 1. Scope]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t | The system shall operate within a 28 V DC power envelope not exceeding 45 W.  [source: SysRS_v3.1.docx / 2. Requirements / 2.2 Non-Functional Requirements]</w:t>
        <w:br/>
        <w:t>- | The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This SysRS defines the system-level requirements for the telemetry acquisition subsystem.  [source: SysRS_v3.1.docx / 1. Scope]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t | The system shall operate within a 28 V DC power envelope not exceeding 45 W.  [source: SysRS_v3.1.docx / 2. Requirements / 2.2 Non-Functional Requirements]</w:t>
        <w:br/>
        <w:t>- | The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Definitions,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1. Scope</w:t>
            </w:r>
          </w:p>
        </w:tc>
        <w:tc>
          <w:tcPr>
            <w:tcW w:type="dxa" w:w="4320"/>
          </w:tcPr>
          <w:p>
            <w:r>
              <w:t>1. Scope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</w:tbl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</w:tr>
      <w:tr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2 System Overview</w:t>
      </w:r>
    </w:p>
    <w:p>
      <w:pPr>
        <w:pStyle w:val="Heading2"/>
      </w:pPr>
      <w:r>
        <w:t>System Context</w:t>
      </w:r>
    </w:p>
    <w:p>
      <w:r>
        <w:t>DRAFT (mock, grounded on 8 retrieved chunks):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System Requirements Specification (SysRS) Revision 3.1 — baseline for pilot-project-alpha.  [source: SysRS_v3.1.docx / SysRS_v3.1.docx]</w:t>
        <w:br/>
        <w:t>- system shall operate within a 28 V DC power envelope not exceeding 45 W.  [source: SysRS_v3.1.docx / 2. Requirements / 2.2 Non-Functional Requirements]</w:t>
        <w:br/>
        <w:t>- 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Architectural View</w:t>
      </w:r>
    </w:p>
    <w:p>
      <w:r>
        <w:t>DRAFT (mock, grounded on 8 retrieved chunks):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System Requirements Specification (SysRS) Revision 3.1 — baseline for pilot-project-alpha.  [source: SysRS_v3.1.docx / SysRS_v3.1.docx]</w:t>
        <w:br/>
        <w:t>- system shall operate within a 28 V DC power envelope not exceeding 45 W.  [source: SysRS_v3.1.docx / 2. Requirements / 2.2 Non-Functional Requirements]</w:t>
        <w:br/>
        <w:t>- 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Privileges</w:t>
            </w:r>
          </w:p>
        </w:tc>
      </w:tr>
      <w:tr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</w:tr>
      <w:tr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3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</w:tr>
      <w:tr>
        <w:tc>
          <w:tcPr>
            <w:tcW w:type="dxa" w:w="1728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| functional | The system shall acquire telemetry data from at least 3 sensor channels simultaneously.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| functional | The system shall timestamp every acquired sample with a system time reference accurate to +/- 1 ms.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| functional | The system shall buffer at least 10000 samples per channel before flow control is applied.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REQ-0006</w:t>
            </w:r>
          </w:p>
        </w:tc>
        <w:tc>
          <w:tcPr>
            <w:tcW w:type="dxa" w:w="1728"/>
          </w:tcPr>
          <w:p>
            <w:r>
              <w:t>| functional | The system shall record an engineering log with a minimum depth of 6 months of mission operations.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REQ-0007</w:t>
            </w:r>
          </w:p>
        </w:tc>
        <w:tc>
          <w:tcPr>
            <w:tcW w:type="dxa" w:w="1728"/>
          </w:tcPr>
          <w:p>
            <w:r>
              <w:t>| non_functional | The system shall sustain a sample ingestion rate of at least 100 Hz per channel.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REQ-0008</w:t>
            </w:r>
          </w:p>
        </w:tc>
        <w:tc>
          <w:tcPr>
            <w:tcW w:type="dxa" w:w="1728"/>
          </w:tcPr>
          <w:p>
            <w:r>
              <w:t>| non_functional | The system shall restrict access to acquisition controls to authenticated operators only.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REQ-0009</w:t>
            </w:r>
          </w:p>
        </w:tc>
        <w:tc>
          <w:tcPr>
            <w:tcW w:type="dxa" w:w="1728"/>
          </w:tcPr>
          <w:p>
            <w:r>
              <w:t>| non_functional | The system shall complete a software restart in less than 30 seconds after a fault.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REQ-0011</w:t>
            </w:r>
          </w:p>
        </w:tc>
        <w:tc>
          <w:tcPr>
            <w:tcW w:type="dxa" w:w="1728"/>
          </w:tcPr>
          <w:p>
            <w:r>
              <w:t>is added to require automatic fault recovery within 30 seconds, in addition to REQ-0009.</w:t>
            </w:r>
          </w:p>
        </w:tc>
        <w:tc>
          <w:tcPr>
            <w:tcW w:type="dxa" w:w="1728"/>
          </w:tcPr>
          <w:p>
            <w:r>
              <w:t>mom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Heading1"/>
      </w:pPr>
      <w:r>
        <w:t>4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Interface</w:t>
            </w:r>
          </w:p>
        </w:tc>
        <w:tc>
          <w:tcPr>
            <w:tcW w:type="dxa" w:w="1728"/>
          </w:tcPr>
          <w:p>
            <w:r>
              <w:t>Direction</w:t>
            </w:r>
          </w:p>
        </w:tc>
        <w:tc>
          <w:tcPr>
            <w:tcW w:type="dxa" w:w="1728"/>
          </w:tcPr>
          <w:p>
            <w:r>
              <w:t>Protocol</w:t>
            </w:r>
          </w:p>
        </w:tc>
      </w:tr>
      <w:tr>
        <w:tc>
          <w:tcPr>
            <w:tcW w:type="dxa" w:w="1728"/>
          </w:tcPr>
          <w:p>
            <w:r>
              <w:t>IR-0101</w:t>
            </w:r>
          </w:p>
        </w:tc>
        <w:tc>
          <w:tcPr>
            <w:tcW w:type="dxa" w:w="1728"/>
          </w:tcPr>
          <w:p>
            <w:r>
              <w:t>| interface | The ground segment interface shall transmit telemetry sample envelopes as defined in api.proto (message TelemetrySample).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IR-0102</w:t>
            </w:r>
          </w:p>
        </w:tc>
        <w:tc>
          <w:tcPr>
            <w:tcW w:type="dxa" w:w="1728"/>
          </w:tcPr>
          <w:p>
            <w:r>
              <w:t>| interface | The acquisition command interface shall accept a StartCommand message to begin acquisition.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IR-0103</w:t>
            </w:r>
          </w:p>
        </w:tc>
        <w:tc>
          <w:tcPr>
            <w:tcW w:type="dxa" w:w="1728"/>
          </w:tcPr>
          <w:p>
            <w:r>
              <w:t>| interface | The health reporting interface shall expose an MTBF estimate as defined in api.proto (message HealthReport).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IR-0104</w:t>
            </w:r>
          </w:p>
        </w:tc>
        <w:tc>
          <w:tcPr>
            <w:tcW w:type="dxa" w:w="1728"/>
          </w:tcPr>
          <w:p>
            <w:r>
              <w:t>| interface | The sensor interface shall provide a raw sample stream at the configured sample rate.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REQ-0005</w:t>
            </w:r>
          </w:p>
        </w:tc>
        <w:tc>
          <w:tcPr>
            <w:tcW w:type="dxa" w:w="1728"/>
          </w:tcPr>
          <w:p>
            <w:r>
              <w:t>| functional | The system shall expose acquired samples through a REST interface to the ground segment.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5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Measure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</w:tr>
      <w:tr>
        <w:tc>
          <w:tcPr>
            <w:tcW w:type="dxa" w:w="1728"/>
          </w:tcPr>
          <w:p>
            <w:r>
              <w:t>REQ-0002</w:t>
            </w:r>
          </w:p>
        </w:tc>
        <w:tc>
          <w:tcPr>
            <w:tcW w:type="dxa" w:w="1728"/>
          </w:tcPr>
          <w:p>
            <w:r>
              <w:t>| non_functional | The system shall have a mean time between failures (MTBF) of not less than 2000 hours.</w:t>
            </w:r>
          </w:p>
        </w:tc>
        <w:tc>
          <w:tcPr>
            <w:tcW w:type="dxa" w:w="1728"/>
          </w:tcPr>
          <w:p>
            <w:r>
              <w:t>non_functional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Heading1"/>
      </w:pPr>
      <w:r>
        <w:t>6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TP-0007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TP-0008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TP-0009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TP-0010</w:t>
            </w:r>
          </w:p>
        </w:tc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TP-0014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p>
      <w:pPr>
        <w:pStyle w:val="Heading1"/>
      </w:pPr>
      <w:r>
        <w:t>7 Compliance Statement</w:t>
      </w:r>
    </w:p>
    <w:p>
      <w:pPr>
        <w:pStyle w:val="Heading2"/>
      </w:pPr>
      <w:r>
        <w:t>Standards and Regulatory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