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Interface Control Document</w:t>
      </w:r>
    </w:p>
    <w:p>
      <w:pPr>
        <w:jc w:val="center"/>
      </w:pPr>
      <w:r>
        <w:rPr>
          <w:sz w:val="28"/>
        </w:rPr>
        <w:t>Project: kaushal</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Field: Purpose</w:t>
        <w:br/>
        <w:br/>
        <w:t>The primary purpose of this document is to provide comprehensive guidelines and specifications for the development, implementation, and maintenance of software systems within a defence research and development (R&amp;D) project. This document aims to ensure that all technical aspects are aligned with strategic objectives, security standards, and operational requirements set forth by relevant authorities.</w:t>
        <w:br/>
        <w:br/>
        <w:t>Key Objectives:</w:t>
        <w:br/>
        <w:br/>
        <w:t>Technical Standardization: To establish uniform technical standards for the design, coding, testing, and deployment of software systems within the defence R&amp;D project.</w:t>
        <w:br/>
        <w:t>Enhanced Security: To outline stringent measures that ensure the confidentiality, integrity, and availability of information processed by these systems, adhering to international security protocols and guidelines specific to defence applications.</w:t>
        <w:br/>
        <w:t>Efficient Collaboration: To facilitate seamless collaboration among various stakeholders including developers, security experts, and end-users through clear documentation and communication of technical requirements.</w:t>
        <w:br/>
        <w:t>Scalability and Flexibility: To ensure that the software solutions are scalable and adaptable to future technological advancements and changing operational needs within the defence sector.</w:t>
        <w:br/>
        <w:br/>
        <w:t>Scope:</w:t>
        <w:br/>
        <w:br/>
        <w:t>This document covers all aspects related to the development lifecycle of software systems including but not limited to system architecture, coding standards, testing methodologies, deployment procedures, and maintenance practices. It serves as a foundational reference for all project members involved in the design, implementation, and operation of these systems.</w:t>
        <w:br/>
        <w:br/>
        <w:t>Requirements Cited:</w:t>
        <w:br/>
        <w:br/>
        <w:t>REQ-0001: Ensures alignment with strategic objectives set by the defence ministry.</w:t>
        <w:br/>
        <w:t>REQ-0002: Specifies adherence to international security standards for software development within a defence context.</w:t>
        <w:br/>
        <w:t>REQ-0003: Details procedures for efficient collaboration among different project teams and stakeholders.</w:t>
        <w:br/>
        <w:br/>
        <w:t>This document is structured to provide clarity, facilitate decision-making processes, and ensure that all technical activities are executed with precision and in accordance with the overarching goals of the defence R&amp;D project.</w:t>
      </w:r>
    </w:p>
    <w:p>
      <w:pPr>
        <w:pStyle w:val="Heading2"/>
      </w:pPr>
      <w:r>
        <w:t>Scope</w:t>
      </w:r>
    </w:p>
    <w:p>
      <w:r>
        <w:t>The scope delineated herein is pivotal for understanding the ambit within which our project operates, ensuring clarity on what aspects are encompassed and excluded from its purview. This document serves as a foundational guide that outlines the boundaries of our software development initiative, providing insights into its objectives, methodologies, and expected outcomes.</w:t>
        <w:br/>
        <w:br/>
        <w:t>Scope:</w:t>
        <w:br/>
        <w:br/>
        <w:t>The scope of this project encompasses the design, development, integration, testing, and deployment of a cutting-edge defence R&amp;D software solution aimed at enhancing strategic decision-making capabilities. This comprehensive approach ensures that all critical functionalities are addressed comprehensively to meet the stringent requirements set forth by our stakeholders.</w:t>
        <w:br/>
        <w:br/>
        <w:t>AKSHIT's role in this project is multifaceted, focusing on several key areas:</w:t>
        <w:br/>
        <w:br/>
        <w:t>Requirements Gathering and Analysis: AKSHIT will be responsible for gathering detailed requirements from various stakeholders, ensuring a thorough understanding of their needs and expectations. This involves conducting comprehensive interviews, workshops, and surveys to capture the full spectrum of requirements.</w:t>
        <w:br/>
        <w:br/>
        <w:t>System Design: Working closely with the technical team, AKSHIT will contribute to the design phase by proposing innovative solutions that align with the project's goals while considering scalability, security, and performance aspects.</w:t>
        <w:br/>
        <w:br/>
        <w:t>Quality Assurance: AKSHIT plays a crucial role in ensuring that every aspect of the software development process adheres to high-quality standards. This includes conducting rigorous testing phases to validate functionalities, performance metrics, and user interface designs.</w:t>
        <w:br/>
        <w:br/>
        <w:t>Integration and Deployment: AKSHIT will oversee the integration of various components into a cohesive system, ensuring seamless operation across different modules. Additionally, this role involves planning and executing the deployment strategy for the software solution in a controlled environment before it is released into production.</w:t>
        <w:br/>
        <w:br/>
        <w:t>Post-Deployment Support: Post-deployment, AKSHIT's responsibilities extend to providing ongoing support and maintenance, addressing any issues that arise and continuously refining the system based on user feedback and evolving operational needs.</w:t>
        <w:br/>
        <w:br/>
        <w:t>The scope of this project is meticulously defined to ensure alignment with strategic objectives while maintaining flexibility to adapt to unforeseen challenges. It aims to deliver a robust, secure, and efficient software solution that not only meets but exceeds expectations in terms of performance and reliability.</w:t>
        <w:br/>
        <w:br/>
        <w:t>This detailed exploration of the project's scope underscores AKSHIT's pivotal role in various stages of development, emphasizing their comprehensive involvement from requirements gathering through deployment and beyond. By understanding this scope, all stakeholders can anticipate how their contributions will integrate into the broader project goals, fostering a collaborative environment that drives innovation and excellence.</w:t>
      </w:r>
    </w:p>
    <w:p>
      <w:pPr>
        <w:pStyle w:val="Heading2"/>
      </w:pPr>
      <w:r>
        <w:t>References</w:t>
      </w:r>
    </w:p>
    <w:p>
      <w:r>
        <w:t>(empty)</w:t>
      </w:r>
    </w:p>
    <w:p>
      <w:pPr>
        <w:pStyle w:val="Heading1"/>
      </w:pPr>
      <w:r>
        <w:t>2 Interface Requirements</w:t>
      </w:r>
    </w:p>
    <w:p>
      <w:r>
        <w:t>(empty)</w:t>
      </w:r>
    </w:p>
    <w:p>
      <w:pPr>
        <w:pStyle w:val="Heading1"/>
      </w:pPr>
      <w:r>
        <w:t>3 Message Formats and Data Structures</w:t>
      </w:r>
    </w:p>
    <w:p>
      <w:pPr>
        <w:pStyle w:val="Heading2"/>
      </w:pPr>
      <w:r>
        <w:t>Message Schemas</w:t>
      </w:r>
    </w:p>
    <w:p>
      <w:r>
        <w:t>(empty)</w:t>
      </w:r>
    </w:p>
    <w:p>
      <w:pPr>
        <w:pStyle w:val="Heading2"/>
      </w:pPr>
      <w:r>
        <w:t>Encoding Rules</w:t>
      </w:r>
    </w:p>
    <w:p>
      <w:r>
        <w:t>Field: Encoding Rules (REQ-0002)</w:t>
        <w:br/>
        <w:br/>
        <w:t>The encoding rules for the data structures within this project are designed to ensure compatibility, efficiency, and security across various platforms. This section outlines the specific guidelines that govern how data is represented in binary form.</w:t>
        <w:br/>
        <w:br/>
        <w:t>Character Set: The primary character set used throughout the system is UTF-8 (REQ-0003). This choice supports a wide range of characters from different languages and scripts, ensuring global compatibility.</w:t>
        <w:br/>
        <w:br/>
        <w:t>Data Types Encoding: All numeric values are encoded using IEEE 754 floating-point format for precision and portability across platforms (REQ-0004). Boolean values use the standard binary representation: true as 1, and false as 0.</w:t>
        <w:br/>
        <w:br/>
        <w:t>Binary Serialization: For data exchange between different components, a custom serialization protocol is employed that adheres to the principles of minimal overhead and maximum readability. This includes:</w:t>
        <w:br/>
        <w:t xml:space="preserve">   - Field-Oriented Encoding: Each field in a message structure is prefixed with its type (e.g., integer size, floating point precision) followed by the value.</w:t>
        <w:br/>
        <w:t xml:space="preserve">   - Variable-Length Packing: Arrays or lists are encoded using variable-length integers to represent their length before the actual data, allowing for efficient handling of dynamic data sizes.</w:t>
        <w:br/>
        <w:br/>
        <w:t>Security Considerations: To protect sensitive information during transmission and storage:</w:t>
        <w:br/>
        <w:t xml:space="preserve">   - Encryption: All serialized messages that contain sensitive data undergo encryption using AES-256 (REQ-0005) with a unique key per session to ensure confidentiality.</w:t>
        <w:br/>
        <w:t xml:space="preserve">   - Data Integrity Checks: A checksum or cryptographic hash is appended to each message to verify its integrity upon receipt.</w:t>
        <w:br/>
        <w:br/>
        <w:t>Endianness: The system uses big-endian byte order for all binary data representations, ensuring compatibility across different hardware architectures (REQ-0006).</w:t>
        <w:br/>
        <w:br/>
        <w:t>These encoding rules are designed to balance performance with security and ease of integration into the overall system architecture. Compliance with these guidelines is mandatory for any software component developed or integrated within this project.</w:t>
        <w:br/>
        <w:br/>
        <w:t>References:</w:t>
        <w:br/>
        <w:t>[ISO/IEC 8859](https://www.iso.org/standard/47631.html) - For UTF-8 character set standard.</w:t>
        <w:br/>
        <w:t>[IEEE Standard for Floating-Point Arithmetic](https://ieeexplore.ieee.org/document/40243) - For IEEE 754 floating-point format details.</w:t>
        <w:br/>
        <w:t>[AES Algorithm Specification](https://csrc.nist.gov/publications/detail/fips/197/1) - For AES encryption standard.</w:t>
        <w:br/>
        <w:br/>
        <w:t>Further Reading:</w:t>
        <w:br/>
        <w:t>[Serialization Best Practices](https://www.example.com/serialization-best-practices) for detailed guidelines on efficient and secure data serialization techniques.</w:t>
      </w:r>
    </w:p>
    <w:p>
      <w:pPr>
        <w:pStyle w:val="Heading1"/>
      </w:pPr>
      <w:r>
        <w:t>4 Interface Traceability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