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Design Description</w:t>
      </w:r>
    </w:p>
    <w:p>
      <w:pPr>
        <w:jc w:val="center"/>
      </w:pPr>
      <w:r>
        <w:rPr>
          <w:sz w:val="28"/>
        </w:rPr>
        <w:t>Project: demo-055758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no grounding chunks retrieved): please review and expand.</w:t>
      </w:r>
    </w:p>
    <w:p>
      <w:pPr>
        <w:pStyle w:val="Heading2"/>
      </w:pPr>
      <w:r>
        <w:t>Scope</w:t>
      </w:r>
    </w:p>
    <w:p>
      <w:r>
        <w:t>DRAFT (mock, no grounding chunks retrieved): please review and expand.</w:t>
      </w:r>
    </w:p>
    <w:p>
      <w:pPr>
        <w:pStyle w:val="Heading2"/>
      </w:pPr>
      <w:r>
        <w:t>Related Documents</w:t>
      </w:r>
    </w:p>
    <w:p>
      <w:r>
        <w:t>(empty)</w:t>
      </w:r>
    </w:p>
    <w:p>
      <w:pPr>
        <w:pStyle w:val="Heading1"/>
      </w:pPr>
      <w:r>
        <w:t>2 System Design Overview</w:t>
      </w:r>
    </w:p>
    <w:p>
      <w:pPr>
        <w:pStyle w:val="Heading2"/>
      </w:pPr>
      <w:r>
        <w:t>Design Approach</w:t>
      </w:r>
    </w:p>
    <w:p>
      <w:r>
        <w:t>DRAFT (mock, no grounding chunks retrieved): please review and expand.</w:t>
      </w:r>
    </w:p>
    <w:p>
      <w:pPr>
        <w:pStyle w:val="Heading2"/>
      </w:pPr>
      <w:r>
        <w:t>Module Decomposition</w:t>
      </w:r>
    </w:p>
    <w:p>
      <w:r>
        <w:t>(empty)</w:t>
      </w:r>
    </w:p>
    <w:p>
      <w:pPr>
        <w:pStyle w:val="Heading2"/>
      </w:pPr>
      <w:r>
        <w:t>Key Architectural Decisions</w:t>
      </w:r>
    </w:p>
    <w:p>
      <w:r>
        <w:t>DRAFT (mock, no grounding chunks retrieved): please review and expand.</w:t>
      </w:r>
    </w:p>
    <w:p>
      <w:pPr>
        <w:pStyle w:val="Heading1"/>
      </w:pPr>
      <w:r>
        <w:t>3 Module and Component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Artifact Id</w:t>
            </w:r>
          </w:p>
        </w:tc>
        <w:tc>
          <w:tcPr>
            <w:tcW w:type="dxa" w:w="1728"/>
          </w:tcPr>
          <w:p>
            <w:r>
              <w:t>Artifact</w:t>
            </w:r>
          </w:p>
        </w:tc>
        <w:tc>
          <w:tcPr>
            <w:tcW w:type="dxa" w:w="1728"/>
          </w:tcPr>
          <w:p>
            <w:r>
              <w:t>Artifact Type</w:t>
            </w:r>
          </w:p>
        </w:tc>
        <w:tc>
          <w:tcPr>
            <w:tcW w:type="dxa" w:w="1728"/>
          </w:tcPr>
          <w:p>
            <w:r>
              <w:t>Module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C-acquisition.AcquisitionEngine</w:t>
            </w:r>
          </w:p>
        </w:tc>
        <w:tc>
          <w:tcPr>
            <w:tcW w:type="dxa" w:w="1728"/>
          </w:tcPr>
          <w:p>
            <w:r>
              <w:t>AcquisitionEngine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acquisition</w:t>
            </w:r>
          </w:p>
        </w:tc>
        <w:tc>
          <w:tcPr>
            <w:tcW w:type="dxa" w:w="1728"/>
          </w:tcPr>
          <w:p>
            <w:r>
              <w:t>AcquisitionEngine</w:t>
            </w:r>
          </w:p>
        </w:tc>
      </w:tr>
      <w:tr>
        <w:tc>
          <w:tcPr>
            <w:tcW w:type="dxa" w:w="1728"/>
          </w:tcPr>
          <w:p>
            <w:r>
              <w:t>C-acquisition.Sample</w:t>
            </w:r>
          </w:p>
        </w:tc>
        <w:tc>
          <w:tcPr>
            <w:tcW w:type="dxa" w:w="1728"/>
          </w:tcPr>
          <w:p>
            <w:r>
              <w:t>Sample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acquisition</w:t>
            </w:r>
          </w:p>
        </w:tc>
        <w:tc>
          <w:tcPr>
            <w:tcW w:type="dxa" w:w="1728"/>
          </w:tcPr>
          <w:p>
            <w:r>
              <w:t>Sample</w:t>
            </w:r>
          </w:p>
        </w:tc>
      </w:tr>
      <w:tr>
        <w:tc>
          <w:tcPr>
            <w:tcW w:type="dxa" w:w="1728"/>
          </w:tcPr>
          <w:p>
            <w:r>
              <w:t>C-api.HealthReport</w:t>
            </w:r>
          </w:p>
        </w:tc>
        <w:tc>
          <w:tcPr>
            <w:tcW w:type="dxa" w:w="1728"/>
          </w:tcPr>
          <w:p>
            <w:r>
              <w:t>message HealthReport {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message HealthReport {</w:t>
            </w:r>
          </w:p>
        </w:tc>
      </w:tr>
      <w:tr>
        <w:tc>
          <w:tcPr>
            <w:tcW w:type="dxa" w:w="1728"/>
          </w:tcPr>
          <w:p>
            <w:r>
              <w:t>C-api.StartCommand</w:t>
            </w:r>
          </w:p>
        </w:tc>
        <w:tc>
          <w:tcPr>
            <w:tcW w:type="dxa" w:w="1728"/>
          </w:tcPr>
          <w:p>
            <w:r>
              <w:t>message StartCommand {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message StartCommand {</w:t>
            </w:r>
          </w:p>
        </w:tc>
      </w:tr>
      <w:tr>
        <w:tc>
          <w:tcPr>
            <w:tcW w:type="dxa" w:w="1728"/>
          </w:tcPr>
          <w:p>
            <w:r>
              <w:t>C-api.TelemetrySample</w:t>
            </w:r>
          </w:p>
        </w:tc>
        <w:tc>
          <w:tcPr>
            <w:tcW w:type="dxa" w:w="1728"/>
          </w:tcPr>
          <w:p>
            <w:r>
              <w:t>message TelemetrySample {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message TelemetrySample {</w:t>
            </w:r>
          </w:p>
        </w:tc>
      </w:tr>
      <w:tr>
        <w:tc>
          <w:tcPr>
            <w:tcW w:type="dxa" w:w="1728"/>
          </w:tcPr>
          <w:p>
            <w:r>
              <w:t>C-processing.HealthMonitor</w:t>
            </w:r>
          </w:p>
        </w:tc>
        <w:tc>
          <w:tcPr>
            <w:tcW w:type="dxa" w:w="1728"/>
          </w:tcPr>
          <w:p>
            <w:r>
              <w:t>HealthMonitor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processing</w:t>
            </w:r>
          </w:p>
        </w:tc>
        <w:tc>
          <w:tcPr>
            <w:tcW w:type="dxa" w:w="1728"/>
          </w:tcPr>
          <w:p>
            <w:r>
              <w:t>HealthMonitor</w:t>
            </w:r>
          </w:p>
        </w:tc>
      </w:tr>
      <w:tr>
        <w:tc>
          <w:tcPr>
            <w:tcW w:type="dxa" w:w="1728"/>
          </w:tcPr>
          <w:p>
            <w:r>
              <w:t>C-server./acquire/start</w:t>
            </w:r>
          </w:p>
        </w:tc>
        <w:tc>
          <w:tcPr>
            <w:tcW w:type="dxa" w:w="1728"/>
          </w:tcPr>
          <w:p>
            <w:r>
              <w:t>HTTP @app.post -&gt; /acquire/start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HTTP @app.post -&gt; /acquire/start</w:t>
            </w:r>
          </w:p>
        </w:tc>
      </w:tr>
      <w:tr>
        <w:tc>
          <w:tcPr>
            <w:tcW w:type="dxa" w:w="1728"/>
          </w:tcPr>
          <w:p>
            <w:r>
              <w:t>C-server./acquire/stop</w:t>
            </w:r>
          </w:p>
        </w:tc>
        <w:tc>
          <w:tcPr>
            <w:tcW w:type="dxa" w:w="1728"/>
          </w:tcPr>
          <w:p>
            <w:r>
              <w:t>HTTP @app.post -&gt; /acquire/stop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HTTP @app.post -&gt; /acquire/stop</w:t>
            </w:r>
          </w:p>
        </w:tc>
      </w:tr>
      <w:tr>
        <w:tc>
          <w:tcPr>
            <w:tcW w:type="dxa" w:w="1728"/>
          </w:tcPr>
          <w:p>
            <w:r>
              <w:t>C-server.get_mtbf</w:t>
            </w:r>
          </w:p>
        </w:tc>
        <w:tc>
          <w:tcPr>
            <w:tcW w:type="dxa" w:w="1728"/>
          </w:tcPr>
          <w:p>
            <w:r>
              <w:t>get_mtbf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get_mtbf</w:t>
            </w:r>
          </w:p>
        </w:tc>
      </w:tr>
      <w:tr>
        <w:tc>
          <w:tcPr>
            <w:tcW w:type="dxa" w:w="1728"/>
          </w:tcPr>
          <w:p>
            <w:r>
              <w:t>C-server.get_samples</w:t>
            </w:r>
          </w:p>
        </w:tc>
        <w:tc>
          <w:tcPr>
            <w:tcW w:type="dxa" w:w="1728"/>
          </w:tcPr>
          <w:p>
            <w:r>
              <w:t>get_samples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get_samples</w:t>
            </w:r>
          </w:p>
        </w:tc>
      </w:tr>
      <w:tr>
        <w:tc>
          <w:tcPr>
            <w:tcW w:type="dxa" w:w="1728"/>
          </w:tcPr>
          <w:p>
            <w:r>
              <w:t>C-server./health</w:t>
            </w:r>
          </w:p>
        </w:tc>
        <w:tc>
          <w:tcPr>
            <w:tcW w:type="dxa" w:w="1728"/>
          </w:tcPr>
          <w:p>
            <w:r>
              <w:t>HTTP @app.get -&gt; /health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HTTP @app.get -&gt; /health</w:t>
            </w:r>
          </w:p>
        </w:tc>
      </w:tr>
      <w:tr>
        <w:tc>
          <w:tcPr>
            <w:tcW w:type="dxa" w:w="1728"/>
          </w:tcPr>
          <w:p>
            <w:r>
              <w:t>C-server.health</w:t>
            </w:r>
          </w:p>
        </w:tc>
        <w:tc>
          <w:tcPr>
            <w:tcW w:type="dxa" w:w="1728"/>
          </w:tcPr>
          <w:p>
            <w:r>
              <w:t>health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health</w:t>
            </w:r>
          </w:p>
        </w:tc>
      </w:tr>
      <w:tr>
        <w:tc>
          <w:tcPr>
            <w:tcW w:type="dxa" w:w="1728"/>
          </w:tcPr>
          <w:p>
            <w:r>
              <w:t>C-server./mtbf</w:t>
            </w:r>
          </w:p>
        </w:tc>
        <w:tc>
          <w:tcPr>
            <w:tcW w:type="dxa" w:w="1728"/>
          </w:tcPr>
          <w:p>
            <w:r>
              <w:t>HTTP @app.get -&gt; /mtbf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HTTP @app.get -&gt; /mtbf</w:t>
            </w:r>
          </w:p>
        </w:tc>
      </w:tr>
      <w:tr>
        <w:tc>
          <w:tcPr>
            <w:tcW w:type="dxa" w:w="1728"/>
          </w:tcPr>
          <w:p>
            <w:r>
              <w:t>C-server./samples</w:t>
            </w:r>
          </w:p>
        </w:tc>
        <w:tc>
          <w:tcPr>
            <w:tcW w:type="dxa" w:w="1728"/>
          </w:tcPr>
          <w:p>
            <w:r>
              <w:t>HTTP @app.get -&gt; /samples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HTTP @app.get -&gt; /samples</w:t>
            </w:r>
          </w:p>
        </w:tc>
      </w:tr>
      <w:tr>
        <w:tc>
          <w:tcPr>
            <w:tcW w:type="dxa" w:w="1728"/>
          </w:tcPr>
          <w:p>
            <w:r>
              <w:t>C-server.start_acquisition</w:t>
            </w:r>
          </w:p>
        </w:tc>
        <w:tc>
          <w:tcPr>
            <w:tcW w:type="dxa" w:w="1728"/>
          </w:tcPr>
          <w:p>
            <w:r>
              <w:t>start_acquisition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start_acquisition</w:t>
            </w:r>
          </w:p>
        </w:tc>
      </w:tr>
      <w:tr>
        <w:tc>
          <w:tcPr>
            <w:tcW w:type="dxa" w:w="1728"/>
          </w:tcPr>
          <w:p>
            <w:r>
              <w:t>C-server.stop_acquisition</w:t>
            </w:r>
          </w:p>
        </w:tc>
        <w:tc>
          <w:tcPr>
            <w:tcW w:type="dxa" w:w="1728"/>
          </w:tcPr>
          <w:p>
            <w:r>
              <w:t>stop_acquisition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stop_acquisition</w:t>
            </w:r>
          </w:p>
        </w:tc>
      </w:tr>
    </w:tbl>
    <w:p>
      <w:pPr>
        <w:pStyle w:val="Heading2"/>
      </w:pPr>
      <w:r>
        <w:t>Gap Analysis</w:t>
      </w:r>
    </w:p>
    <w:p>
      <w:pPr>
        <w:pStyle w:val="ListBullet"/>
      </w:pPr>
      <w:r>
        <w:t>IR-0101 (irs) is not covered in this section.</w:t>
      </w:r>
    </w:p>
    <w:p>
      <w:pPr>
        <w:pStyle w:val="ListBullet"/>
      </w:pPr>
      <w:r>
        <w:t>IR-0102 (irs) is not covered in this section.</w:t>
      </w:r>
    </w:p>
    <w:p>
      <w:pPr>
        <w:pStyle w:val="ListBullet"/>
      </w:pPr>
      <w:r>
        <w:t>IR-0103 (irs) is not covered in this section.</w:t>
      </w:r>
    </w:p>
    <w:p>
      <w:pPr>
        <w:pStyle w:val="ListBullet"/>
      </w:pPr>
      <w:r>
        <w:t>IR-0104 (irs) is not covered in this section.</w:t>
      </w:r>
    </w:p>
    <w:p>
      <w:pPr>
        <w:pStyle w:val="ListBullet"/>
      </w:pPr>
      <w:r>
        <w:t>REQ-0001 (sysrs) is not covered in this section.</w:t>
      </w:r>
    </w:p>
    <w:p>
      <w:pPr>
        <w:pStyle w:val="ListBullet"/>
      </w:pPr>
      <w:r>
        <w:t>REQ-0003 (sysrs) is not covered in this section.</w:t>
      </w:r>
    </w:p>
    <w:p>
      <w:pPr>
        <w:pStyle w:val="ListBullet"/>
      </w:pPr>
      <w:r>
        <w:t>REQ-0004 (sysrs) is not covered in this section.</w:t>
      </w:r>
    </w:p>
    <w:p>
      <w:pPr>
        <w:pStyle w:val="ListBullet"/>
      </w:pPr>
      <w:r>
        <w:t>REQ-0005 (sysrs) is not covered in this section.</w:t>
      </w:r>
    </w:p>
    <w:p>
      <w:pPr>
        <w:pStyle w:val="ListBullet"/>
      </w:pPr>
      <w:r>
        <w:t>REQ-0006 (sysrs) is not covered in this section.</w:t>
      </w:r>
    </w:p>
    <w:p>
      <w:pPr>
        <w:pStyle w:val="ListBullet"/>
      </w:pPr>
      <w:r>
        <w:t>REQ-0002 (sysrs) is not covered in this section.</w:t>
      </w:r>
    </w:p>
    <w:p>
      <w:pPr>
        <w:pStyle w:val="ListBullet"/>
      </w:pPr>
      <w:r>
        <w:t>REQ-0007 (sysrs) is not covered in this section.</w:t>
      </w:r>
    </w:p>
    <w:p>
      <w:pPr>
        <w:pStyle w:val="ListBullet"/>
      </w:pPr>
      <w:r>
        <w:t>REQ-0008 (sysrs) is not covered in this section.</w:t>
      </w:r>
    </w:p>
    <w:p>
      <w:pPr>
        <w:pStyle w:val="ListBullet"/>
      </w:pPr>
      <w:r>
        <w:t>REQ-0009 (sysrs) is not covered in this section.</w:t>
      </w:r>
    </w:p>
    <w:p>
      <w:pPr>
        <w:pStyle w:val="ListBullet"/>
      </w:pPr>
      <w:r>
        <w:t>REQ-0010 (sysrs) is not covered in this section.</w:t>
      </w:r>
    </w:p>
    <w:p>
      <w:pPr>
        <w:pStyle w:val="Heading1"/>
      </w:pPr>
      <w:r>
        <w:t>4 Interface Design</w:t>
      </w:r>
    </w:p>
    <w:p>
      <w:pPr>
        <w:pStyle w:val="Heading2"/>
      </w:pPr>
      <w:r>
        <w:t>External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Interface</w:t>
            </w:r>
          </w:p>
        </w:tc>
        <w:tc>
          <w:tcPr>
            <w:tcW w:type="dxa" w:w="2160"/>
          </w:tcPr>
          <w:p>
            <w:r>
              <w:t>Direction</w:t>
            </w:r>
          </w:p>
        </w:tc>
        <w:tc>
          <w:tcPr>
            <w:tcW w:type="dxa" w:w="2160"/>
          </w:tcPr>
          <w:p>
            <w:r>
              <w:t>Protocol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IRS_v2.0.docx</w:t>
            </w:r>
          </w:p>
        </w:tc>
        <w:tc>
          <w:tcPr>
            <w:tcW w:type="dxa" w:w="2160"/>
          </w:tcPr>
          <w:p>
            <w:r>
              <w:t>IRS_v2.0.docx</w:t>
            </w:r>
          </w:p>
        </w:tc>
        <w:tc>
          <w:tcPr>
            <w:tcW w:type="dxa" w:w="2160"/>
          </w:tcPr>
          <w:p>
            <w:r>
              <w:t>IRS_v2.0.docx</w:t>
            </w:r>
          </w:p>
        </w:tc>
        <w:tc>
          <w:tcPr>
            <w:tcW w:type="dxa" w:w="2160"/>
          </w:tcPr>
          <w:p>
            <w:r>
              <w:t>IRS_v2.0.docx</w:t>
            </w:r>
          </w:p>
        </w:tc>
      </w:tr>
      <w:tr>
        <w:tc>
          <w:tcPr>
            <w:tcW w:type="dxa" w:w="2160"/>
          </w:tcPr>
          <w:p>
            <w:r>
              <w:t>3. Interface Requirements</w:t>
            </w:r>
          </w:p>
        </w:tc>
        <w:tc>
          <w:tcPr>
            <w:tcW w:type="dxa" w:w="2160"/>
          </w:tcPr>
          <w:p>
            <w:r>
              <w:t>3. Interface Requirements</w:t>
            </w:r>
          </w:p>
        </w:tc>
        <w:tc>
          <w:tcPr>
            <w:tcW w:type="dxa" w:w="2160"/>
          </w:tcPr>
          <w:p>
            <w:r>
              <w:t>3. Interface Requirements</w:t>
            </w:r>
          </w:p>
        </w:tc>
        <w:tc>
          <w:tcPr>
            <w:tcW w:type="dxa" w:w="2160"/>
          </w:tcPr>
          <w:p>
            <w:r>
              <w:t>3. Interface Requirements</w:t>
            </w:r>
          </w:p>
        </w:tc>
      </w:tr>
      <w:tr>
        <w:tc>
          <w:tcPr>
            <w:tcW w:type="dxa" w:w="2160"/>
          </w:tcPr>
          <w:p>
            <w:r>
              <w:t>/home/hanuai/Documents/sdlc-docgen/backend/storage/ec0b5cea-6bd5-47d6-ad58-7e95b7930a98/uploads/code/telemetry_acq/api.proto</w:t>
            </w:r>
          </w:p>
        </w:tc>
        <w:tc>
          <w:tcPr>
            <w:tcW w:type="dxa" w:w="2160"/>
          </w:tcPr>
          <w:p>
            <w:r>
              <w:t>/home/hanuai/Documents/sdlc-docgen/backend/storage/ec0b5cea-6bd5-47d6-ad58-7e95b7930a98/uploads/code/telemetry_acq/api.proto</w:t>
            </w:r>
          </w:p>
        </w:tc>
        <w:tc>
          <w:tcPr>
            <w:tcW w:type="dxa" w:w="2160"/>
          </w:tcPr>
          <w:p>
            <w:r>
              <w:t>/home/hanuai/Documents/sdlc-docgen/backend/storage/ec0b5cea-6bd5-47d6-ad58-7e95b7930a98/uploads/code/telemetry_acq/api.proto</w:t>
            </w:r>
          </w:p>
        </w:tc>
        <w:tc>
          <w:tcPr>
            <w:tcW w:type="dxa" w:w="2160"/>
          </w:tcPr>
          <w:p>
            <w:r>
              <w:t>/home/hanuai/Documents/sdlc-docgen/backend/storage/ec0b5cea-6bd5-47d6-ad58-7e95b7930a98/uploads/code/telemetry_acq/api.proto</w:t>
            </w:r>
          </w:p>
        </w:tc>
      </w:tr>
      <w:tr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</w:tr>
      <w:tr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</w:tr>
      <w:tr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</w:tr>
      <w:tr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</w:tr>
      <w:tr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</w:tr>
    </w:tbl>
    <w:p>
      <w:pPr>
        <w:pStyle w:val="Heading2"/>
      </w:pPr>
      <w:r>
        <w:t>Shared Data Structures</w:t>
      </w:r>
    </w:p>
    <w:p>
      <w:r>
        <w:t>DRAFT (mock, grounded on 8 retrieved chunks):</w:t>
        <w:br/>
        <w:t>- ID | Type | Requirement IR-0101 | interface | The ground segment interface shall transmit telemetry sample envelopes as defined in api.proto (message TelemetrySample). IR-0102 | interface | The acquisition command interface shall accept a StartCommand message to begin acquisition. IR-0103 | interface | The health reporting interface shall expose an MTBF estimate as defined in api.proto (message HealthReport). IR-0104 | interface | The sensor interface shall provide a raw sample stream at the con  [source: IRS_v2.0.docx / 3. Interface Requirements]</w:t>
        <w:br/>
        <w:t>- Interface Requirements Specification (IRS) Revision 2.0 — interface requirements for the ground segment and sensor interfaces.  [source: IRS_v2.0.docx / IRS_v2.0.docx]</w:t>
        <w:br/>
        <w:t>- syntax = "proto3"; package telemetry_acq; // Telemetry sample envelope (interface IR-0101). message TelemetrySample { uint32 channel = 1; double timestamp = 2; repeated double values = 3; } // Command message to start acquisition (interface IR-0102). message StartCommand { uint32 num_channels = 1; uint32 sample_rate_hz = 2; } // Health status report (interface IR-0103). message HealthReport { string status = 1; double mtbf_estimate_hours = 2; }  [source: /home/hanuai/Documents/sdlc-docgen/backend/storage/ec0b5cea-6bd5-47d6-ad58-7e95b7930a98/uploads/code/telemetry_acq/api.proto / /home/hanuai/Documents/sdlc-docgen/backend/storage/ec0b5cea-6bd5-47d6-ad58-7e95b7930a98/uploads/code/telemetry_acq/api.proto]</w:t>
        <w:br/>
        <w:t>- art(self) -&gt; None: self._running = True for channel in range(self.num_channels): thread = threading.Thread(target=self._acquire, args=(channel,), daemon=True) thread.start() self._threads.append(thread) def _acquire(self, channel: int) -&gt; None: while self._running: sample = Sample(channel=channel, timestamp=time.time(), values=[0.0, 0.0, 0.0]) self._queue.put(sample) time.sleep(1.0 / self.sample_rate_hz) def read(self, timeout_s: float = 1.0) -&gt; list[Sample]: samples: list[Sample] = [] for _ in   [source: /home/hanuai/Documents/sdlc-docgen/backend/storage/ec0b5cea-6bd5-47d6-ad58-7e95b7930a98/uploads/code/telemetry_acq/acquisition.py / /home/hanuai/Documents/sdlc-docgen/backend/storage/ec0b5cea-6bd5-47d6-ad58-7e95b7930a98/uploads/code/telemetry_acq/acquisition.py]</w:t>
        <w:br/>
        <w:t>- elf._running = False for thread in self._threads: thread.join(timeout=1.0)  [source: /home/hanuai/Documents/sdlc-docgen/backend/storage/ec0b5cea-6bd5-47d6-ad58-7e95b7930a98/uploads/code/telemetry_acq/acquisition.py / /home/hanuai/Documents/sdlc-docgen/backend/storage/ec0b5cea-6bd5-47d6-ad58-7e95b7930a98/uploads/code/telemetry_acq/acquisition.py]</w:t>
      </w:r>
    </w:p>
    <w:p>
      <w:pPr>
        <w:pStyle w:val="Heading1"/>
      </w:pPr>
      <w:r>
        <w:t>5 Design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From</w:t>
            </w:r>
          </w:p>
        </w:tc>
        <w:tc>
          <w:tcPr>
            <w:tcW w:type="dxa" w:w="2160"/>
          </w:tcPr>
          <w:p>
            <w:r>
              <w:t>To</w:t>
            </w:r>
          </w:p>
        </w:tc>
        <w:tc>
          <w:tcPr>
            <w:tcW w:type="dxa" w:w="2160"/>
          </w:tcPr>
          <w:p>
            <w:r>
              <w:t>Link Type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TP-0001</w:t>
            </w:r>
          </w:p>
        </w:tc>
        <w:tc>
          <w:tcPr>
            <w:tcW w:type="dxa" w:w="2160"/>
          </w:tcPr>
          <w:p>
            <w:r>
              <w:t>IR-0101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IR-0101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TP-0002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TP-0003</w:t>
            </w:r>
          </w:p>
        </w:tc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IR-0104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TP-0004</w:t>
            </w:r>
          </w:p>
        </w:tc>
        <w:tc>
          <w:tcPr>
            <w:tcW w:type="dxa" w:w="2160"/>
          </w:tcPr>
          <w:p>
            <w:r>
              <w:t>IR-0104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C-acquisition.AcquisitionEngine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TP-0006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C-processing.HealthMonitor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TP-0011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TP-0007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TP-0008</w:t>
            </w:r>
          </w:p>
        </w:tc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TP-0009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TP-0010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TP-0012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TP-0013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TP-0014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TP-0005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>
      <w:pPr>
        <w:pStyle w:val="Heading2"/>
      </w:pPr>
      <w:r>
        <w:t>Uncovered Requirements</w:t>
      </w:r>
    </w:p>
    <w:p>
      <w:pPr>
        <w:pStyle w:val="ListBullet"/>
      </w:pPr>
      <w:r>
        <w:t>C-acquisition.Sample</w:t>
      </w:r>
    </w:p>
    <w:p>
      <w:pPr>
        <w:pStyle w:val="ListBullet"/>
      </w:pPr>
      <w:r>
        <w:t>C-api.HealthReport</w:t>
      </w:r>
    </w:p>
    <w:p>
      <w:pPr>
        <w:pStyle w:val="ListBullet"/>
      </w:pPr>
      <w:r>
        <w:t>C-api.StartCommand</w:t>
      </w:r>
    </w:p>
    <w:p>
      <w:pPr>
        <w:pStyle w:val="ListBullet"/>
      </w:pPr>
      <w:r>
        <w:t>C-api.TelemetrySample</w:t>
      </w:r>
    </w:p>
    <w:p>
      <w:pPr>
        <w:pStyle w:val="ListBullet"/>
      </w:pPr>
      <w:r>
        <w:t>C-server./acquire/start</w:t>
      </w:r>
    </w:p>
    <w:p>
      <w:pPr>
        <w:pStyle w:val="ListBullet"/>
      </w:pPr>
      <w:r>
        <w:t>C-server./acquire/stop</w:t>
      </w:r>
    </w:p>
    <w:p>
      <w:pPr>
        <w:pStyle w:val="ListBullet"/>
      </w:pPr>
      <w:r>
        <w:t>C-server./health</w:t>
      </w:r>
    </w:p>
    <w:p>
      <w:pPr>
        <w:pStyle w:val="ListBullet"/>
      </w:pPr>
      <w:r>
        <w:t>C-server./mtbf</w:t>
      </w:r>
    </w:p>
    <w:p>
      <w:pPr>
        <w:pStyle w:val="ListBullet"/>
      </w:pPr>
      <w:r>
        <w:t>C-server./samples</w:t>
      </w:r>
    </w:p>
    <w:p>
      <w:pPr>
        <w:pStyle w:val="ListBullet"/>
      </w:pPr>
      <w:r>
        <w:t>C-server.get_mtbf</w:t>
      </w:r>
    </w:p>
    <w:p>
      <w:pPr>
        <w:pStyle w:val="ListBullet"/>
      </w:pPr>
      <w:r>
        <w:t>C-server.get_samples</w:t>
      </w:r>
    </w:p>
    <w:p>
      <w:pPr>
        <w:pStyle w:val="ListBullet"/>
      </w:pPr>
      <w:r>
        <w:t>C-server.health</w:t>
      </w:r>
    </w:p>
    <w:p>
      <w:pPr>
        <w:pStyle w:val="ListBullet"/>
      </w:pPr>
      <w:r>
        <w:t>C-server.start_acquisition</w:t>
      </w:r>
    </w:p>
    <w:p>
      <w:pPr>
        <w:pStyle w:val="ListBullet"/>
      </w:pPr>
      <w:r>
        <w:t>C-server.stop_acquisition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