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demo-055758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1. Scope</w:t>
            </w:r>
          </w:p>
        </w:tc>
        <w:tc>
          <w:tcPr>
            <w:tcW w:type="dxa" w:w="4320"/>
          </w:tcPr>
          <w:p>
            <w:r>
              <w:t>1. Scope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</w:tbl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</w:tr>
      <w:tr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Architectural View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Privileges</w:t>
            </w:r>
          </w:p>
        </w:tc>
      </w:tr>
      <w:tr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</w:tr>
      <w:tr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| functional | The system shall acquire telemetry data from at least 3 sensor channels simultaneously.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| functional | The system shall timestamp every acquired sample with a system time reference accurate to +/- 1 ms.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| functional | The system shall buffer at least 10000 samples per channel before flow control is applied.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| functional | The system shall record an engineering log with a minimum depth of 6 months of mission operations.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| non_functional | The system shall sustain a sample ingestion rate of at least 100 Hz per channel.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| non_functional | The system shall restrict access to acquisition controls to authenticated operators only.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| non_functional | The system shall complete a software restart in less than 30 seconds after a fault.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is added to require automatic fault recovery within 30 seconds, in addition to REQ-0009.</w:t>
            </w:r>
          </w:p>
        </w:tc>
        <w:tc>
          <w:tcPr>
            <w:tcW w:type="dxa" w:w="1728"/>
          </w:tcPr>
          <w:p>
            <w:r>
              <w:t>mom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4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</w:tr>
      <w:tr>
        <w:tc>
          <w:tcPr>
            <w:tcW w:type="dxa" w:w="1728"/>
          </w:tcPr>
          <w:p>
            <w:r>
              <w:t>IR-0101</w:t>
            </w:r>
          </w:p>
        </w:tc>
        <w:tc>
          <w:tcPr>
            <w:tcW w:type="dxa" w:w="1728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IR-0102</w:t>
            </w:r>
          </w:p>
        </w:tc>
        <w:tc>
          <w:tcPr>
            <w:tcW w:type="dxa" w:w="1728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IR-0103</w:t>
            </w:r>
          </w:p>
        </w:tc>
        <w:tc>
          <w:tcPr>
            <w:tcW w:type="dxa" w:w="1728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IR-0104</w:t>
            </w:r>
          </w:p>
        </w:tc>
        <w:tc>
          <w:tcPr>
            <w:tcW w:type="dxa" w:w="1728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5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| non_functional | The system shall have a mean time between failures (MTBF) of not less than 2000 hours.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6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